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kern w:val="0"/>
          <w:sz w:val="44"/>
          <w:szCs w:val="44"/>
          <w:lang w:eastAsia="zh-CN"/>
        </w:rPr>
      </w:pPr>
      <w:bookmarkStart w:id="0" w:name="_GoBack"/>
      <w:r>
        <w:rPr>
          <w:rFonts w:hint="eastAsia" w:ascii="方正小标宋简体" w:hAnsi="方正小标宋简体" w:eastAsia="方正小标宋简体" w:cs="方正小标宋简体"/>
          <w:kern w:val="0"/>
          <w:sz w:val="44"/>
          <w:szCs w:val="44"/>
          <w:lang w:eastAsia="zh-CN"/>
        </w:rPr>
        <w:t>望城区</w:t>
      </w:r>
      <w:r>
        <w:rPr>
          <w:rFonts w:hint="eastAsia" w:ascii="方正小标宋简体" w:hAnsi="方正小标宋简体" w:eastAsia="方正小标宋简体" w:cs="方正小标宋简体"/>
          <w:kern w:val="0"/>
          <w:sz w:val="44"/>
          <w:szCs w:val="44"/>
          <w:lang w:val="en-US" w:eastAsia="zh-CN"/>
        </w:rPr>
        <w:t>2018年</w:t>
      </w:r>
      <w:r>
        <w:rPr>
          <w:rFonts w:hint="eastAsia" w:ascii="方正小标宋简体" w:hAnsi="方正小标宋简体" w:eastAsia="方正小标宋简体" w:cs="方正小标宋简体"/>
          <w:kern w:val="0"/>
          <w:sz w:val="44"/>
          <w:szCs w:val="44"/>
        </w:rPr>
        <w:t>专项资金</w:t>
      </w:r>
      <w:r>
        <w:rPr>
          <w:rFonts w:hint="eastAsia" w:ascii="方正小标宋简体" w:hAnsi="方正小标宋简体" w:eastAsia="方正小标宋简体" w:cs="方正小标宋简体"/>
          <w:kern w:val="0"/>
          <w:sz w:val="44"/>
          <w:szCs w:val="44"/>
          <w:lang w:eastAsia="zh-CN"/>
        </w:rPr>
        <w:t>绩效评价自评</w:t>
      </w:r>
      <w:r>
        <w:rPr>
          <w:rFonts w:hint="eastAsia" w:ascii="方正小标宋简体" w:hAnsi="方正小标宋简体" w:eastAsia="方正小标宋简体" w:cs="方正小标宋简体"/>
          <w:kern w:val="0"/>
          <w:sz w:val="44"/>
          <w:szCs w:val="44"/>
        </w:rPr>
        <w:t>表</w:t>
      </w:r>
    </w:p>
    <w:bookmarkEnd w:id="0"/>
    <w:p>
      <w:pPr>
        <w:spacing w:line="500" w:lineRule="exact"/>
        <w:jc w:val="center"/>
        <w:rPr>
          <w:rFonts w:hint="eastAsia" w:ascii="方正小标宋简体" w:hAnsi="方正小标宋简体" w:eastAsia="方正小标宋简体" w:cs="方正小标宋简体"/>
          <w:kern w:val="0"/>
          <w:sz w:val="44"/>
          <w:szCs w:val="44"/>
          <w:lang w:eastAsia="zh-CN"/>
        </w:rPr>
      </w:pPr>
    </w:p>
    <w:p>
      <w:pPr>
        <w:widowControl/>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填报单位（盖章）</w:t>
      </w:r>
      <w:r>
        <w:rPr>
          <w:rFonts w:hint="eastAsia" w:ascii="仿宋_GB2312" w:hAnsi="仿宋_GB2312" w:eastAsia="仿宋_GB2312" w:cs="仿宋_GB2312"/>
          <w:kern w:val="0"/>
          <w:sz w:val="20"/>
          <w:szCs w:val="20"/>
          <w:lang w:eastAsia="zh-CN"/>
        </w:rPr>
        <w:t>长沙市望城区市政局</w:t>
      </w:r>
    </w:p>
    <w:tbl>
      <w:tblPr>
        <w:tblStyle w:val="2"/>
        <w:tblW w:w="9696" w:type="dxa"/>
        <w:jc w:val="center"/>
        <w:tblLayout w:type="fixed"/>
        <w:tblCellMar>
          <w:top w:w="0" w:type="dxa"/>
          <w:left w:w="108" w:type="dxa"/>
          <w:bottom w:w="0" w:type="dxa"/>
          <w:right w:w="108" w:type="dxa"/>
        </w:tblCellMar>
      </w:tblPr>
      <w:tblGrid>
        <w:gridCol w:w="710"/>
        <w:gridCol w:w="750"/>
        <w:gridCol w:w="1096"/>
        <w:gridCol w:w="1264"/>
        <w:gridCol w:w="1826"/>
        <w:gridCol w:w="675"/>
        <w:gridCol w:w="360"/>
        <w:gridCol w:w="960"/>
        <w:gridCol w:w="2055"/>
      </w:tblGrid>
      <w:tr>
        <w:tblPrEx>
          <w:tblCellMar>
            <w:top w:w="0" w:type="dxa"/>
            <w:left w:w="108" w:type="dxa"/>
            <w:bottom w:w="0" w:type="dxa"/>
            <w:right w:w="108" w:type="dxa"/>
          </w:tblCellMar>
        </w:tblPrEx>
        <w:trPr>
          <w:trHeight w:val="403" w:hRule="atLeast"/>
          <w:jc w:val="center"/>
        </w:trPr>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专项名称</w:t>
            </w:r>
          </w:p>
        </w:tc>
        <w:tc>
          <w:tcPr>
            <w:tcW w:w="236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市政建设维护专项资金</w:t>
            </w:r>
            <w:r>
              <w:rPr>
                <w:rFonts w:hint="eastAsia" w:ascii="仿宋_GB2312" w:hAnsi="仿宋_GB2312" w:eastAsia="仿宋_GB2312" w:cs="仿宋_GB2312"/>
                <w:kern w:val="0"/>
                <w:szCs w:val="21"/>
              </w:rPr>
              <w:t>　</w:t>
            </w:r>
          </w:p>
        </w:tc>
        <w:tc>
          <w:tcPr>
            <w:tcW w:w="2501"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专项属性</w:t>
            </w:r>
          </w:p>
        </w:tc>
        <w:tc>
          <w:tcPr>
            <w:tcW w:w="3375"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延续专项□ √    新增专项□    </w:t>
            </w:r>
          </w:p>
        </w:tc>
      </w:tr>
      <w:tr>
        <w:tblPrEx>
          <w:tblCellMar>
            <w:top w:w="0" w:type="dxa"/>
            <w:left w:w="108" w:type="dxa"/>
            <w:bottom w:w="0" w:type="dxa"/>
            <w:right w:w="108" w:type="dxa"/>
          </w:tblCellMar>
        </w:tblPrEx>
        <w:trPr>
          <w:trHeight w:val="630" w:hRule="atLeast"/>
          <w:jc w:val="center"/>
        </w:trPr>
        <w:tc>
          <w:tcPr>
            <w:tcW w:w="1460" w:type="dxa"/>
            <w:gridSpan w:val="2"/>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部门名称</w:t>
            </w:r>
          </w:p>
        </w:tc>
        <w:tc>
          <w:tcPr>
            <w:tcW w:w="2360" w:type="dxa"/>
            <w:gridSpan w:val="2"/>
            <w:vMerge w:val="restart"/>
            <w:tcBorders>
              <w:top w:val="single" w:color="auto" w:sz="4" w:space="0"/>
              <w:left w:val="nil"/>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长沙市望城区市政局</w:t>
            </w:r>
            <w:r>
              <w:rPr>
                <w:rFonts w:hint="eastAsia" w:ascii="仿宋_GB2312" w:hAnsi="仿宋_GB2312" w:eastAsia="仿宋_GB2312" w:cs="仿宋_GB2312"/>
                <w:kern w:val="0"/>
                <w:szCs w:val="21"/>
              </w:rPr>
              <w:t>　</w:t>
            </w:r>
          </w:p>
        </w:tc>
        <w:tc>
          <w:tcPr>
            <w:tcW w:w="2501"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年初预算安排</w:t>
            </w:r>
            <w:r>
              <w:rPr>
                <w:rFonts w:hint="eastAsia" w:ascii="仿宋_GB2312" w:hAnsi="仿宋_GB2312" w:eastAsia="仿宋_GB2312" w:cs="仿宋_GB2312"/>
                <w:kern w:val="0"/>
                <w:szCs w:val="21"/>
              </w:rPr>
              <w:t>资金总额（万元）</w:t>
            </w:r>
          </w:p>
        </w:tc>
        <w:tc>
          <w:tcPr>
            <w:tcW w:w="3375"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2000万</w:t>
            </w:r>
          </w:p>
        </w:tc>
      </w:tr>
      <w:tr>
        <w:tblPrEx>
          <w:tblCellMar>
            <w:top w:w="0" w:type="dxa"/>
            <w:left w:w="108" w:type="dxa"/>
            <w:bottom w:w="0" w:type="dxa"/>
            <w:right w:w="108" w:type="dxa"/>
          </w:tblCellMar>
        </w:tblPrEx>
        <w:trPr>
          <w:trHeight w:val="415" w:hRule="atLeast"/>
          <w:jc w:val="center"/>
        </w:trPr>
        <w:tc>
          <w:tcPr>
            <w:tcW w:w="1460" w:type="dxa"/>
            <w:gridSpan w:val="2"/>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pPr>
          </w:p>
        </w:tc>
        <w:tc>
          <w:tcPr>
            <w:tcW w:w="2360" w:type="dxa"/>
            <w:gridSpan w:val="2"/>
            <w:vMerge w:val="continue"/>
            <w:tcBorders>
              <w:left w:val="nil"/>
              <w:bottom w:val="single" w:color="auto" w:sz="4" w:space="0"/>
              <w:right w:val="single" w:color="auto" w:sz="4" w:space="0"/>
            </w:tcBorders>
            <w:noWrap w:val="0"/>
            <w:vAlign w:val="center"/>
          </w:tcPr>
          <w:p>
            <w:pPr>
              <w:widowControl/>
              <w:spacing w:line="280" w:lineRule="exact"/>
              <w:jc w:val="center"/>
            </w:pPr>
          </w:p>
        </w:tc>
        <w:tc>
          <w:tcPr>
            <w:tcW w:w="2501"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预算执行数（万元）</w:t>
            </w:r>
          </w:p>
        </w:tc>
        <w:tc>
          <w:tcPr>
            <w:tcW w:w="3375"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1246.99万</w:t>
            </w:r>
          </w:p>
        </w:tc>
      </w:tr>
      <w:tr>
        <w:tblPrEx>
          <w:tblCellMar>
            <w:top w:w="0" w:type="dxa"/>
            <w:left w:w="108" w:type="dxa"/>
            <w:bottom w:w="0" w:type="dxa"/>
            <w:right w:w="108" w:type="dxa"/>
          </w:tblCellMar>
        </w:tblPrEx>
        <w:trPr>
          <w:trHeight w:val="415" w:hRule="atLeast"/>
          <w:jc w:val="center"/>
        </w:trPr>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部门相应职能职责概述</w:t>
            </w:r>
          </w:p>
        </w:tc>
        <w:tc>
          <w:tcPr>
            <w:tcW w:w="8236"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对城区范围内所有市政设施的建设、维护和管理；审核由取得市政工程设计、施工合格的单位承担的市政工程设施建设项目设计、施工；临时占道挖掘审批、市政基础设施的维护和保养。</w:t>
            </w:r>
          </w:p>
        </w:tc>
      </w:tr>
      <w:tr>
        <w:tblPrEx>
          <w:tblCellMar>
            <w:top w:w="0" w:type="dxa"/>
            <w:left w:w="108" w:type="dxa"/>
            <w:bottom w:w="0" w:type="dxa"/>
            <w:right w:w="108" w:type="dxa"/>
          </w:tblCellMar>
        </w:tblPrEx>
        <w:trPr>
          <w:trHeight w:val="521" w:hRule="atLeast"/>
          <w:jc w:val="center"/>
        </w:trPr>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专项立项</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依据</w:t>
            </w:r>
          </w:p>
        </w:tc>
        <w:tc>
          <w:tcPr>
            <w:tcW w:w="8236"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望财预【201</w:t>
            </w:r>
            <w:r>
              <w:rPr>
                <w:rFonts w:hint="eastAsia" w:ascii="仿宋_GB2312" w:hAnsi="仿宋_GB2312" w:eastAsia="仿宋_GB2312" w:cs="仿宋_GB2312"/>
                <w:kern w:val="0"/>
                <w:szCs w:val="21"/>
                <w:lang w:val="en-US" w:eastAsia="zh-CN"/>
              </w:rPr>
              <w:t>8</w:t>
            </w:r>
            <w:r>
              <w:rPr>
                <w:rFonts w:hint="eastAsia" w:ascii="仿宋_GB2312" w:hAnsi="仿宋_GB2312" w:eastAsia="仿宋_GB2312" w:cs="仿宋_GB2312"/>
                <w:kern w:val="0"/>
                <w:szCs w:val="21"/>
              </w:rPr>
              <w:t>】1号文将市政建设</w:t>
            </w:r>
            <w:r>
              <w:rPr>
                <w:rFonts w:hint="eastAsia" w:ascii="仿宋_GB2312" w:hAnsi="仿宋_GB2312" w:eastAsia="仿宋_GB2312" w:cs="仿宋_GB2312"/>
                <w:kern w:val="0"/>
                <w:szCs w:val="21"/>
                <w:lang w:eastAsia="zh-CN"/>
              </w:rPr>
              <w:t>维护</w:t>
            </w:r>
            <w:r>
              <w:rPr>
                <w:rFonts w:hint="eastAsia" w:ascii="仿宋_GB2312" w:hAnsi="仿宋_GB2312" w:eastAsia="仿宋_GB2312" w:cs="仿宋_GB2312"/>
                <w:kern w:val="0"/>
                <w:szCs w:val="21"/>
              </w:rPr>
              <w:t>专项资金核入市政局201</w:t>
            </w:r>
            <w:r>
              <w:rPr>
                <w:rFonts w:hint="eastAsia" w:ascii="仿宋_GB2312" w:hAnsi="仿宋_GB2312" w:eastAsia="仿宋_GB2312" w:cs="仿宋_GB2312"/>
                <w:kern w:val="0"/>
                <w:szCs w:val="21"/>
                <w:lang w:val="en-US" w:eastAsia="zh-CN"/>
              </w:rPr>
              <w:t>8</w:t>
            </w:r>
            <w:r>
              <w:rPr>
                <w:rFonts w:hint="eastAsia" w:ascii="仿宋_GB2312" w:hAnsi="仿宋_GB2312" w:eastAsia="仿宋_GB2312" w:cs="仿宋_GB2312"/>
                <w:kern w:val="0"/>
                <w:szCs w:val="21"/>
              </w:rPr>
              <w:t>年专项资金常年预算。　</w:t>
            </w:r>
          </w:p>
        </w:tc>
      </w:tr>
      <w:tr>
        <w:tblPrEx>
          <w:tblCellMar>
            <w:top w:w="0" w:type="dxa"/>
            <w:left w:w="108" w:type="dxa"/>
            <w:bottom w:w="0" w:type="dxa"/>
            <w:right w:w="108" w:type="dxa"/>
          </w:tblCellMar>
        </w:tblPrEx>
        <w:trPr>
          <w:trHeight w:val="480" w:hRule="atLeast"/>
          <w:jc w:val="center"/>
        </w:trPr>
        <w:tc>
          <w:tcPr>
            <w:tcW w:w="146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专项实施进度计划</w:t>
            </w:r>
          </w:p>
        </w:tc>
        <w:tc>
          <w:tcPr>
            <w:tcW w:w="236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专项实施内容</w:t>
            </w:r>
          </w:p>
        </w:tc>
        <w:tc>
          <w:tcPr>
            <w:tcW w:w="2501"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计划开始时间</w:t>
            </w:r>
          </w:p>
        </w:tc>
        <w:tc>
          <w:tcPr>
            <w:tcW w:w="3375"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236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1、市政建设维护专项</w:t>
            </w:r>
          </w:p>
        </w:tc>
        <w:tc>
          <w:tcPr>
            <w:tcW w:w="2501"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2018年1月1日</w:t>
            </w:r>
            <w:r>
              <w:rPr>
                <w:rFonts w:hint="eastAsia" w:ascii="仿宋_GB2312" w:hAnsi="仿宋_GB2312" w:eastAsia="仿宋_GB2312" w:cs="仿宋_GB2312"/>
                <w:kern w:val="0"/>
                <w:szCs w:val="21"/>
              </w:rPr>
              <w:t>　</w:t>
            </w:r>
          </w:p>
        </w:tc>
        <w:tc>
          <w:tcPr>
            <w:tcW w:w="3375"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2018年12月31日</w:t>
            </w: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392" w:hRule="atLeast"/>
          <w:jc w:val="center"/>
        </w:trPr>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专项长期绩效目标</w:t>
            </w:r>
          </w:p>
        </w:tc>
        <w:tc>
          <w:tcPr>
            <w:tcW w:w="8236"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以“建设更加美丽、强盛、幸福的名望之都”为工作目标，巩固“创卫”“创文”成果，对城区所有的市政基础设施进行维护和管理；保障道路路面、人行道板完好平整；保障排水设施正常使用；消除道路上各类井座井盖破损的安全隐患以及黑臭水沟淤塞状况；美化城市环境，方便居民出行。</w:t>
            </w:r>
          </w:p>
        </w:tc>
      </w:tr>
      <w:tr>
        <w:tblPrEx>
          <w:tblCellMar>
            <w:top w:w="0" w:type="dxa"/>
            <w:left w:w="108" w:type="dxa"/>
            <w:bottom w:w="0" w:type="dxa"/>
            <w:right w:w="108" w:type="dxa"/>
          </w:tblCellMar>
        </w:tblPrEx>
        <w:trPr>
          <w:trHeight w:val="442" w:hRule="atLeast"/>
          <w:jc w:val="center"/>
        </w:trPr>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专项年度绩效目标</w:t>
            </w:r>
          </w:p>
        </w:tc>
        <w:tc>
          <w:tcPr>
            <w:tcW w:w="8236"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一年内对城区760多万平方米范围内的所有市政基础设施及排水管网进行更换改造和日常维护管理，保障市政设施和排水管网的安全正常运行，保证市民的安全出行，提升城市品位，促进望城经济发展。</w:t>
            </w:r>
          </w:p>
        </w:tc>
      </w:tr>
      <w:tr>
        <w:tblPrEx>
          <w:tblCellMar>
            <w:top w:w="0" w:type="dxa"/>
            <w:left w:w="108" w:type="dxa"/>
            <w:bottom w:w="0" w:type="dxa"/>
            <w:right w:w="108" w:type="dxa"/>
          </w:tblCellMar>
        </w:tblPrEx>
        <w:trPr>
          <w:trHeight w:val="313" w:hRule="atLeast"/>
          <w:jc w:val="center"/>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专项年度绩效指标</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指标内容</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指标值</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全年</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实际值</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备注</w:t>
            </w:r>
          </w:p>
        </w:tc>
      </w:tr>
      <w:tr>
        <w:tblPrEx>
          <w:tblCellMar>
            <w:top w:w="0" w:type="dxa"/>
            <w:left w:w="108" w:type="dxa"/>
            <w:bottom w:w="0" w:type="dxa"/>
            <w:right w:w="108" w:type="dxa"/>
          </w:tblCellMar>
        </w:tblPrEx>
        <w:trPr>
          <w:trHeight w:val="18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产出指标</w:t>
            </w: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数量指标</w:t>
            </w: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一年内对城区760万平方米范围内所有市政基础设施（城区破损路面、人行道板、井座井盖、路沿石、跑水石、树围石、泄水桥、桥梁、排水管网等）进行更换改造和日常维护管理</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100%</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100%</w:t>
            </w:r>
          </w:p>
        </w:tc>
        <w:tc>
          <w:tcPr>
            <w:tcW w:w="2055"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全年对城区760万平方米范围内破损的市政基础设施和下水管网分四大片区（一片区、二片区、三片区、经开区）进行维护和更换改造，保证</w:t>
            </w:r>
            <w:r>
              <w:rPr>
                <w:rFonts w:hint="eastAsia" w:ascii="仿宋_GB2312" w:hAnsi="仿宋_GB2312" w:eastAsia="仿宋_GB2312" w:cs="仿宋_GB2312"/>
                <w:kern w:val="0"/>
                <w:szCs w:val="21"/>
                <w:lang w:eastAsia="zh-CN"/>
              </w:rPr>
              <w:t>了</w:t>
            </w:r>
            <w:r>
              <w:rPr>
                <w:rFonts w:hint="eastAsia" w:ascii="仿宋_GB2312" w:hAnsi="仿宋_GB2312" w:eastAsia="仿宋_GB2312" w:cs="仿宋_GB2312"/>
                <w:kern w:val="0"/>
                <w:szCs w:val="21"/>
              </w:rPr>
              <w:t>城区所有市政基础设施和排水管网数量指标的安全正常运行。</w:t>
            </w: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维护主次干道含背街小巷</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约160条</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约160条</w:t>
            </w:r>
          </w:p>
        </w:tc>
        <w:tc>
          <w:tcPr>
            <w:tcW w:w="2055" w:type="dxa"/>
            <w:vMerge w:val="continue"/>
            <w:tcBorders>
              <w:left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005"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排水管网维护长度(其中污水管道160公里、雨水管道180公里、合流管道40公里)。　</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380公里</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380公里</w:t>
            </w:r>
          </w:p>
        </w:tc>
        <w:tc>
          <w:tcPr>
            <w:tcW w:w="2055"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32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c>
          <w:tcPr>
            <w:tcW w:w="10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质量指标</w:t>
            </w: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车行道平均完好率达</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95%以上</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3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人行道平均完好率达</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95以上</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对破损的市政基础设施及时更换和维护，平均完好率达</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95%以上</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92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对城区排污管道和下水道进行维护，严防管道堵塞、污水外溢及井根据2018年工作计划铺排</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100%</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61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2018年的维护工作按照预定计划完成</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100%</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人民</w:t>
            </w:r>
            <w:r>
              <w:rPr>
                <w:rFonts w:hint="eastAsia" w:ascii="仿宋_GB2312" w:hAnsi="仿宋_GB2312" w:eastAsia="仿宋_GB2312" w:cs="仿宋_GB2312"/>
                <w:kern w:val="0"/>
                <w:szCs w:val="21"/>
                <w:lang w:eastAsia="zh-CN"/>
              </w:rPr>
              <w:t>群众反映</w:t>
            </w:r>
            <w:r>
              <w:rPr>
                <w:rFonts w:hint="eastAsia" w:ascii="仿宋_GB2312" w:hAnsi="仿宋_GB2312" w:eastAsia="仿宋_GB2312" w:cs="仿宋_GB2312"/>
                <w:kern w:val="0"/>
                <w:szCs w:val="21"/>
              </w:rPr>
              <w:t>强烈、政府督办、城管数字化信息平台反馈、文明指数测评等要求的市政设施维护工作的办</w:t>
            </w:r>
            <w:r>
              <w:rPr>
                <w:rFonts w:hint="eastAsia" w:ascii="仿宋_GB2312" w:hAnsi="仿宋_GB2312" w:eastAsia="仿宋_GB2312" w:cs="仿宋_GB2312"/>
                <w:kern w:val="0"/>
                <w:szCs w:val="21"/>
                <w:lang w:eastAsia="zh-CN"/>
              </w:rPr>
              <w:t>结率</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执法人员法律知识、业务知识培训</w:t>
            </w:r>
            <w:r>
              <w:rPr>
                <w:rFonts w:hint="eastAsia" w:ascii="仿宋_GB2312" w:hAnsi="仿宋_GB2312" w:eastAsia="仿宋_GB2312" w:cs="仿宋_GB2312"/>
                <w:kern w:val="0"/>
                <w:szCs w:val="21"/>
                <w:lang w:eastAsia="zh-CN"/>
              </w:rPr>
              <w:t>率</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single" w:color="auto" w:sz="4" w:space="0"/>
              <w:left w:val="nil"/>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restart"/>
            <w:tcBorders>
              <w:top w:val="single" w:color="auto" w:sz="4" w:space="0"/>
              <w:left w:val="nil"/>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时效指标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日常督查过程中发现或接到投诉关于井座井盖等市政设施缺失或严重破损的，立即在其周边设置防护设施及警示标志，无法直接更换的</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24小时内修复</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在规定的时间内完成修复</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left w:val="nil"/>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left w:val="nil"/>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督查过程发现或接到投诉路面塌陷的，立即在其塌陷周边设置防护栏和禁止同行标识等防护设施封闭车道通行，</w:t>
            </w:r>
            <w:r>
              <w:rPr>
                <w:rFonts w:hint="eastAsia" w:ascii="仿宋_GB2312" w:hAnsi="仿宋_GB2312" w:eastAsia="仿宋_GB2312" w:cs="仿宋_GB2312"/>
                <w:kern w:val="0"/>
                <w:szCs w:val="21"/>
                <w:lang w:val="en-US" w:eastAsia="zh-CN"/>
              </w:rPr>
              <w:t>24小时内</w:t>
            </w:r>
            <w:r>
              <w:rPr>
                <w:rFonts w:hint="eastAsia" w:ascii="仿宋_GB2312" w:hAnsi="仿宋_GB2312" w:eastAsia="仿宋_GB2312" w:cs="仿宋_GB2312"/>
                <w:kern w:val="0"/>
                <w:szCs w:val="21"/>
              </w:rPr>
              <w:t>进行抢险性维修并制定专项方案，不间断施工修复。</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24小时内</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在规定的时间内完成修复</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left w:val="nil"/>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投诉处理平均天数不超过</w:t>
            </w:r>
            <w:r>
              <w:rPr>
                <w:rFonts w:hint="eastAsia" w:ascii="仿宋_GB2312" w:hAnsi="仿宋_GB2312" w:eastAsia="仿宋_GB2312" w:cs="仿宋_GB2312"/>
                <w:kern w:val="0"/>
                <w:szCs w:val="21"/>
                <w:lang w:eastAsia="zh-CN"/>
              </w:rPr>
              <w:t>天数</w:t>
            </w:r>
            <w:r>
              <w:rPr>
                <w:rFonts w:hint="eastAsia" w:ascii="仿宋_GB2312" w:hAnsi="仿宋_GB2312" w:eastAsia="仿宋_GB2312" w:cs="仿宋_GB2312"/>
                <w:kern w:val="0"/>
                <w:szCs w:val="21"/>
              </w:rPr>
              <w:t>　</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3天</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3天</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成本指标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节约成本，不超</w:t>
            </w:r>
            <w:r>
              <w:rPr>
                <w:rFonts w:hint="eastAsia" w:ascii="仿宋_GB2312" w:hAnsi="仿宋_GB2312" w:eastAsia="仿宋_GB2312" w:cs="仿宋_GB2312"/>
                <w:kern w:val="0"/>
                <w:szCs w:val="21"/>
              </w:rPr>
              <w:t>预算</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both"/>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2000万元</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1246.99</w:t>
            </w:r>
            <w:r>
              <w:rPr>
                <w:rFonts w:hint="eastAsia" w:ascii="仿宋_GB2312" w:hAnsi="仿宋_GB2312" w:eastAsia="仿宋_GB2312" w:cs="仿宋_GB2312"/>
                <w:kern w:val="0"/>
                <w:szCs w:val="21"/>
              </w:rPr>
              <w:t>万元</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restart"/>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效益指标</w:t>
            </w:r>
          </w:p>
        </w:tc>
        <w:tc>
          <w:tcPr>
            <w:tcW w:w="109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经济效益指标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提高市政工程施工技术水平，使本年度市政设施维护成本低于财政预算数。　</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改善环境、美化城市，吸引更多的投资者、旅游者，促进望城的经济发展</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城市品位得到了更大提升，促进了望城经济持续发展</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restart"/>
            <w:tcBorders>
              <w:top w:val="single" w:color="auto" w:sz="4" w:space="0"/>
              <w:left w:val="nil"/>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社会效益指标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1、保持道路畅通、市政设施完好、提升城市</w:t>
            </w:r>
            <w:r>
              <w:rPr>
                <w:rFonts w:hint="eastAsia" w:ascii="仿宋_GB2312" w:hAnsi="仿宋_GB2312" w:eastAsia="仿宋_GB2312" w:cs="仿宋_GB2312"/>
                <w:kern w:val="0"/>
                <w:szCs w:val="21"/>
                <w:lang w:eastAsia="zh-CN"/>
              </w:rPr>
              <w:t>品位</w:t>
            </w:r>
            <w:r>
              <w:rPr>
                <w:rFonts w:hint="eastAsia" w:ascii="仿宋_GB2312" w:hAnsi="仿宋_GB2312" w:eastAsia="仿宋_GB2312" w:cs="仿宋_GB2312"/>
                <w:kern w:val="0"/>
                <w:szCs w:val="21"/>
              </w:rPr>
              <w:t>、巩固“创卫”和“创文”成果；</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基本稳固</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成果稳固</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2、保持或提高本区在全市排名。　</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稳定保持</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稳定保持</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、市民投诉处理率；</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不低于95%</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vMerge w:val="continue"/>
            <w:tcBorders>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、投诉处理情况的满意度</w:t>
            </w:r>
            <w:r>
              <w:rPr>
                <w:rFonts w:hint="eastAsia" w:ascii="仿宋_GB2312" w:hAnsi="仿宋_GB2312" w:eastAsia="仿宋_GB2312" w:cs="仿宋_GB2312"/>
                <w:kern w:val="0"/>
                <w:szCs w:val="21"/>
                <w:lang w:eastAsia="zh-CN"/>
              </w:rPr>
              <w:t>。</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不低于95%；</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生态效益指标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改善城区交通环境和城市人居环境，持续提升城市</w:t>
            </w:r>
            <w:r>
              <w:rPr>
                <w:rFonts w:hint="eastAsia" w:ascii="仿宋_GB2312" w:hAnsi="仿宋_GB2312" w:eastAsia="仿宋_GB2312" w:cs="仿宋_GB2312"/>
                <w:kern w:val="0"/>
                <w:szCs w:val="21"/>
                <w:lang w:eastAsia="zh-CN"/>
              </w:rPr>
              <w:t>品位</w:t>
            </w:r>
            <w:r>
              <w:rPr>
                <w:rFonts w:hint="eastAsia" w:ascii="仿宋_GB2312" w:hAnsi="仿宋_GB2312" w:eastAsia="仿宋_GB2312" w:cs="仿宋_GB2312"/>
                <w:kern w:val="0"/>
                <w:szCs w:val="21"/>
              </w:rPr>
              <w:t>，为市民提供安全舒适的生活环境。通过对城区市政设施和排水管网的维护管理工作，给市民提供了一个安全、舒适的出行环境，提高市民的生活质量和幸福指数。　</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明显改善</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明显改善</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可持续影响指标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积极发动社会力量共同参与市政管理，畅通投诉渠道，设立监督热线电话，24小时受理投诉；2、数字化监控市政设施、社会联动及时发现和处理问题，市政管理人员通过数字化市政管理手段，快速高效地完成因各种突发原因造成设施损坏的维修任务，确保问题在最短时间内能得到解决；3、注重技术创新，强化设施维护技术和设备应用，持续改善工作环境，减轻劳动强度，提高维护工程质量，降低维护成本。　　</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执行到位</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全部执行到位</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125" w:hRule="atLeast"/>
          <w:jc w:val="center"/>
        </w:trPr>
        <w:tc>
          <w:tcPr>
            <w:tcW w:w="7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750" w:type="dxa"/>
            <w:vMerge w:val="continue"/>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Cs w:val="21"/>
              </w:rPr>
            </w:pPr>
          </w:p>
        </w:tc>
        <w:tc>
          <w:tcPr>
            <w:tcW w:w="109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服务对象满意度社会公众指标</w:t>
            </w:r>
          </w:p>
        </w:tc>
        <w:tc>
          <w:tcPr>
            <w:tcW w:w="309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社会公众满意度对市政日常维护工作的满意度</w:t>
            </w:r>
            <w:r>
              <w:rPr>
                <w:rFonts w:hint="eastAsia" w:ascii="仿宋_GB2312" w:hAnsi="仿宋_GB2312" w:eastAsia="仿宋_GB2312" w:cs="仿宋_GB2312"/>
                <w:kern w:val="0"/>
                <w:szCs w:val="21"/>
                <w:lang w:eastAsia="zh-CN"/>
              </w:rPr>
              <w:t>。</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不低于95%</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100%</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170" w:hRule="atLeast"/>
          <w:jc w:val="center"/>
        </w:trPr>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专项实施</w:t>
            </w:r>
          </w:p>
          <w:p>
            <w:pPr>
              <w:widowControl/>
              <w:spacing w:line="28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保障措施</w:t>
            </w:r>
          </w:p>
        </w:tc>
        <w:tc>
          <w:tcPr>
            <w:tcW w:w="8236"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制定了《市政建设专项资金管理办法》、《内控管理制度》。</w:t>
            </w:r>
          </w:p>
        </w:tc>
      </w:tr>
    </w:tbl>
    <w:tbl>
      <w:tblPr>
        <w:tblStyle w:val="3"/>
        <w:tblpPr w:leftFromText="180" w:rightFromText="180" w:vertAnchor="text" w:tblpX="10313" w:tblpY="24879"/>
        <w:tblOverlap w:val="never"/>
        <w:tblW w:w="1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1" w:type="dxa"/>
            <w:noWrap w:val="0"/>
            <w:vAlign w:val="top"/>
          </w:tcPr>
          <w:p>
            <w:pPr>
              <w:widowControl/>
              <w:jc w:val="left"/>
              <w:rPr>
                <w:rFonts w:hint="eastAsia" w:ascii="仿宋_GB2312" w:hAnsi="仿宋_GB2312" w:eastAsia="仿宋_GB2312" w:cs="仿宋_GB2312"/>
                <w:kern w:val="0"/>
                <w:szCs w:val="21"/>
                <w:vertAlign w:val="baseline"/>
              </w:rPr>
            </w:pPr>
          </w:p>
        </w:tc>
      </w:tr>
    </w:tbl>
    <w:tbl>
      <w:tblPr>
        <w:tblStyle w:val="3"/>
        <w:tblpPr w:leftFromText="180" w:rightFromText="180" w:vertAnchor="text" w:tblpX="10313" w:tblpY="15630"/>
        <w:tblOverlap w:val="never"/>
        <w:tblW w:w="2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186" w:type="dxa"/>
            <w:noWrap w:val="0"/>
            <w:vAlign w:val="top"/>
          </w:tcPr>
          <w:p>
            <w:pPr>
              <w:widowControl/>
              <w:jc w:val="left"/>
              <w:rPr>
                <w:rFonts w:hint="eastAsia" w:ascii="仿宋_GB2312" w:hAnsi="仿宋_GB2312" w:eastAsia="仿宋_GB2312" w:cs="仿宋_GB2312"/>
                <w:kern w:val="0"/>
                <w:szCs w:val="21"/>
                <w:vertAlign w:val="baseline"/>
              </w:rPr>
            </w:pPr>
          </w:p>
        </w:tc>
      </w:tr>
    </w:tbl>
    <w:tbl>
      <w:tblPr>
        <w:tblStyle w:val="3"/>
        <w:tblpPr w:leftFromText="180" w:rightFromText="180" w:vertAnchor="text" w:tblpX="10313" w:tblpY="15045"/>
        <w:tblOverlap w:val="never"/>
        <w:tblW w:w="1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56" w:type="dxa"/>
            <w:noWrap w:val="0"/>
            <w:vAlign w:val="top"/>
          </w:tcPr>
          <w:p>
            <w:pPr>
              <w:widowControl/>
              <w:jc w:val="left"/>
              <w:rPr>
                <w:rFonts w:hint="eastAsia" w:ascii="仿宋_GB2312" w:hAnsi="仿宋_GB2312" w:eastAsia="仿宋_GB2312" w:cs="仿宋_GB2312"/>
                <w:kern w:val="0"/>
                <w:szCs w:val="21"/>
                <w:vertAlign w:val="baseline"/>
              </w:rPr>
            </w:pPr>
          </w:p>
        </w:tc>
      </w:tr>
    </w:tbl>
    <w:tbl>
      <w:tblPr>
        <w:tblStyle w:val="3"/>
        <w:tblpPr w:leftFromText="180" w:rightFromText="180" w:vertAnchor="text" w:tblpX="10313" w:tblpY="15825"/>
        <w:tblOverlap w:val="never"/>
        <w:tblW w:w="1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736" w:type="dxa"/>
            <w:noWrap w:val="0"/>
            <w:vAlign w:val="top"/>
          </w:tcPr>
          <w:p>
            <w:pPr>
              <w:widowControl/>
              <w:jc w:val="left"/>
              <w:rPr>
                <w:rFonts w:hint="eastAsia" w:ascii="仿宋_GB2312" w:hAnsi="仿宋_GB2312" w:eastAsia="仿宋_GB2312" w:cs="仿宋_GB2312"/>
                <w:kern w:val="0"/>
                <w:szCs w:val="21"/>
                <w:vertAlign w:val="baseline"/>
              </w:rPr>
            </w:pPr>
          </w:p>
        </w:tc>
      </w:tr>
    </w:tbl>
    <w:p>
      <w:pPr>
        <w:widowControl/>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填报人：</w:t>
      </w:r>
      <w:r>
        <w:rPr>
          <w:rFonts w:hint="eastAsia" w:ascii="仿宋_GB2312" w:hAnsi="仿宋_GB2312" w:eastAsia="仿宋_GB2312" w:cs="仿宋_GB2312"/>
          <w:kern w:val="0"/>
          <w:szCs w:val="21"/>
          <w:lang w:eastAsia="zh-CN"/>
        </w:rPr>
        <w:t>周清</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t xml:space="preserve">         联系电话：</w:t>
      </w:r>
      <w:r>
        <w:rPr>
          <w:rFonts w:hint="eastAsia" w:ascii="仿宋_GB2312" w:hAnsi="仿宋_GB2312" w:eastAsia="仿宋_GB2312" w:cs="仿宋_GB2312"/>
          <w:kern w:val="0"/>
          <w:szCs w:val="21"/>
          <w:lang w:val="en-US" w:eastAsia="zh-CN"/>
        </w:rPr>
        <w:t>18390868877</w:t>
      </w:r>
      <w:r>
        <w:rPr>
          <w:rFonts w:hint="eastAsia" w:ascii="仿宋_GB2312" w:hAnsi="仿宋_GB2312" w:eastAsia="仿宋_GB2312" w:cs="仿宋_GB2312"/>
          <w:kern w:val="0"/>
          <w:szCs w:val="21"/>
        </w:rPr>
        <w:tab/>
      </w:r>
      <w:r>
        <w:rPr>
          <w:rFonts w:hint="eastAsia" w:ascii="仿宋_GB2312" w:hAnsi="仿宋_GB2312" w:eastAsia="仿宋_GB2312" w:cs="仿宋_GB2312"/>
          <w:kern w:val="0"/>
          <w:szCs w:val="21"/>
        </w:rPr>
        <w:t xml:space="preserve">      填报日期：</w:t>
      </w:r>
      <w:r>
        <w:rPr>
          <w:rFonts w:hint="eastAsia" w:ascii="仿宋_GB2312" w:hAnsi="仿宋_GB2312" w:eastAsia="仿宋_GB2312" w:cs="仿宋_GB2312"/>
          <w:kern w:val="0"/>
          <w:szCs w:val="21"/>
          <w:lang w:val="en-US" w:eastAsia="zh-CN"/>
        </w:rPr>
        <w:t>2018年4月24日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YzBjOGJkZWMwZGI3ZDhmMGY0ZDkyYjcyMzdiNjcifQ=="/>
  </w:docVars>
  <w:rsids>
    <w:rsidRoot w:val="60C460BF"/>
    <w:rsid w:val="33206728"/>
    <w:rsid w:val="37F5304D"/>
    <w:rsid w:val="3AB66490"/>
    <w:rsid w:val="60C4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1788</Words>
  <Characters>1925</Characters>
  <Lines>0</Lines>
  <Paragraphs>0</Paragraphs>
  <TotalTime>0</TotalTime>
  <ScaleCrop>false</ScaleCrop>
  <LinksUpToDate>false</LinksUpToDate>
  <CharactersWithSpaces>1963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2019-06-03T08:12:00Z</dcterms:created>
  <dc:creator>悦悦</dc:creator>
  <cp:lastModifiedBy>黄</cp:lastModifiedBy>
  <dcterms:modified xsi:type="dcterms:W3CDTF">2022-09-21T09:01:42Z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172257E0DD4B4EA89226B9488DFCE6ED</vt:lpwstr>
  </property>
</Properties>
</file>