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1" w:rsidRPr="004D1331" w:rsidRDefault="004D1331" w:rsidP="004D1331">
      <w:pPr>
        <w:adjustRightInd/>
        <w:snapToGrid/>
        <w:spacing w:after="0" w:line="360" w:lineRule="atLeast"/>
        <w:jc w:val="center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4D1331"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部门整体支出绩效目标申报表</w:t>
      </w:r>
      <w:r w:rsidRPr="004D1331">
        <w:rPr>
          <w:rFonts w:ascii="Times New Roman" w:eastAsia="宋体" w:hAnsi="Times New Roman" w:cs="Times New Roman"/>
          <w:color w:val="000000"/>
          <w:sz w:val="36"/>
          <w:szCs w:val="36"/>
        </w:rPr>
        <w:br/>
      </w:r>
      <w:r w:rsidRPr="004D1331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（</w:t>
      </w:r>
      <w:r w:rsidRPr="004D1331">
        <w:rPr>
          <w:rFonts w:ascii="Times New Roman" w:eastAsia="宋体" w:hAnsi="Times New Roman" w:cs="Times New Roman"/>
          <w:color w:val="000000"/>
          <w:sz w:val="32"/>
          <w:szCs w:val="32"/>
        </w:rPr>
        <w:t> 2018</w:t>
      </w:r>
      <w:r w:rsidRPr="004D1331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年度）</w:t>
      </w:r>
    </w:p>
    <w:p w:rsidR="004D1331" w:rsidRPr="004D1331" w:rsidRDefault="004D1331" w:rsidP="004D1331">
      <w:pPr>
        <w:adjustRightInd/>
        <w:snapToGrid/>
        <w:spacing w:after="0" w:line="360" w:lineRule="atLeast"/>
        <w:ind w:left="93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4D1331">
        <w:rPr>
          <w:rFonts w:ascii="宋体" w:eastAsia="宋体" w:hAnsi="宋体" w:cs="Times New Roman" w:hint="eastAsia"/>
          <w:color w:val="000000"/>
          <w:sz w:val="21"/>
          <w:szCs w:val="21"/>
        </w:rPr>
        <w:t>填报单位（盖章）长沙市望城区住房保障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0"/>
        <w:gridCol w:w="1271"/>
        <w:gridCol w:w="496"/>
        <w:gridCol w:w="1337"/>
        <w:gridCol w:w="2320"/>
        <w:gridCol w:w="2758"/>
      </w:tblGrid>
      <w:tr w:rsidR="004D1331" w:rsidRPr="004D1331" w:rsidTr="004D1331">
        <w:trPr>
          <w:trHeight w:val="607"/>
        </w:trPr>
        <w:tc>
          <w:tcPr>
            <w:tcW w:w="2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长沙市望城区住房保障局</w:t>
            </w:r>
          </w:p>
        </w:tc>
      </w:tr>
      <w:tr w:rsidR="004D1331" w:rsidRPr="004D1331" w:rsidTr="004D1331">
        <w:trPr>
          <w:trHeight w:val="510"/>
        </w:trPr>
        <w:tc>
          <w:tcPr>
            <w:tcW w:w="25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年度预算申请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br/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资金总额：13145</w:t>
            </w:r>
          </w:p>
        </w:tc>
      </w:tr>
      <w:tr w:rsidR="004D1331" w:rsidRPr="004D1331" w:rsidTr="004D1331">
        <w:trPr>
          <w:trHeight w:val="51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按收入性质分：13145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按支出性质分：13145</w:t>
            </w:r>
          </w:p>
        </w:tc>
      </w:tr>
      <w:tr w:rsidR="004D1331" w:rsidRPr="004D1331" w:rsidTr="004D1331">
        <w:trPr>
          <w:trHeight w:val="51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ind w:firstLine="105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其中：       公共财政拨款：1995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其中： 基本支出：1405</w:t>
            </w:r>
          </w:p>
        </w:tc>
      </w:tr>
      <w:tr w:rsidR="004D1331" w:rsidRPr="004D1331" w:rsidTr="004D1331">
        <w:trPr>
          <w:trHeight w:val="51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           政府性基金拨款11150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      项目支出：11740</w:t>
            </w:r>
          </w:p>
        </w:tc>
      </w:tr>
      <w:tr w:rsidR="004D1331" w:rsidRPr="004D1331" w:rsidTr="004D1331">
        <w:trPr>
          <w:trHeight w:val="51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     </w:t>
            </w:r>
          </w:p>
        </w:tc>
      </w:tr>
      <w:tr w:rsidR="004D1331" w:rsidRPr="004D1331" w:rsidTr="004D1331">
        <w:trPr>
          <w:trHeight w:val="51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                 其他资金：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</w:t>
            </w:r>
          </w:p>
        </w:tc>
      </w:tr>
      <w:tr w:rsidR="004D1331" w:rsidRPr="004D1331" w:rsidTr="004D1331">
        <w:trPr>
          <w:trHeight w:val="1286"/>
        </w:trPr>
        <w:tc>
          <w:tcPr>
            <w:tcW w:w="2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是贯彻执行国家住房保障和房地产管理的政策与法规，研究制定实施全区保障性住房及房屋产权管理办法及相关政策;作为全区棚户区改造项目建设主体单位，负责全部项目实施；负责全区住房制度改革及实施保障性住房货币化补贴工作;负责物业管理监督工作、物业维修资金归集、管理、使用的监督工作;负责国有土地上房屋征收补偿工作;负责处理房改、私房改造遗留问题，组织调处房产纠纷和落实房产政策; 负责白蚁预防、灭治管理工作。</w:t>
            </w:r>
          </w:p>
        </w:tc>
      </w:tr>
      <w:tr w:rsidR="004D1331" w:rsidRPr="004D1331" w:rsidTr="004D1331">
        <w:trPr>
          <w:trHeight w:val="1387"/>
        </w:trPr>
        <w:tc>
          <w:tcPr>
            <w:tcW w:w="2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1：搞好全区棚户区改造工作；2：搞好全区保障性安居工程项目建设的指导、监督、协调、服务；3：搞好</w:t>
            </w:r>
            <w:r w:rsidRPr="004D1331">
              <w:rPr>
                <w:rFonts w:ascii="宋体" w:eastAsia="宋体" w:hAnsi="宋体" w:cs="Times New Roman" w:hint="eastAsia"/>
                <w:color w:val="333333"/>
                <w:sz w:val="21"/>
                <w:szCs w:val="21"/>
              </w:rPr>
              <w:t>全区白蚁预防、灭治管理工作；4：配合城区社区引导物业企业形成规模；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br/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br/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……</w:t>
            </w:r>
          </w:p>
        </w:tc>
      </w:tr>
      <w:tr w:rsidR="004D1331" w:rsidRPr="004D1331" w:rsidTr="004D1331">
        <w:trPr>
          <w:trHeight w:val="1391"/>
        </w:trPr>
        <w:tc>
          <w:tcPr>
            <w:tcW w:w="25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部门整体支出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年度绩效指标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数量指标1：完成老城区及各乡镇全部棚户区改造项目，2：完成2891套公共租赁住房的维修、改造及日常管理工作，3：完成2018年度物业管理日常工作。质量指标：1、严格按照设计图纸及相应规范规定执行，验收参照具体标准，监督管控实施过程及考核指标；2、公租房维修、改造实行预算、立项、竣工验收、财政结算符合国家建筑质量标准，保障对象资格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lastRenderedPageBreak/>
              <w:t>审查按照《长沙市望城区公共租赁住房分配和运营管理暂行办法执行》,3、每年组织一次年度考核，季度考核由街道社区组织实施，优秀企业不低于70%。省优和市优项目评选每年组织一次，参评企业通过率达80%。时效指标：1、项目严格按合同规定工期执行，2、保证所需资金及时到位；成本指标：1、已完工项目结算以财评、审计最终审定为准；2、新建项目支付方式及依据按照财评预算及相关政策规定执行，3、做到支出不起预算</w:t>
            </w:r>
          </w:p>
        </w:tc>
      </w:tr>
      <w:tr w:rsidR="004D1331" w:rsidRPr="004D1331" w:rsidTr="004D1331">
        <w:trPr>
          <w:trHeight w:val="154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指标1：改善城市形象，提升城市品位，助推我区“三个转变”的实现和现代化公园式城区建设，服务对象满意度达98%以上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指标2：保障政府投资公共租赁住房的正常使用，保证1696人住房租赁补贴及时足额发放到位；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指标3：全区物业管理整体水平显著提高，人民群众幸福满意获得感增强，全区平安住宅小区和物业服务质量满意度达90%以上，物业服务企业利润达8%。　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……</w:t>
            </w:r>
          </w:p>
        </w:tc>
      </w:tr>
      <w:tr w:rsidR="004D1331" w:rsidRPr="004D1331" w:rsidTr="004D1331">
        <w:trPr>
          <w:trHeight w:val="2121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ind w:right="240" w:firstLine="4095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                                     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br/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MS Mincho" w:eastAsia="MS Mincho" w:hAnsi="MS Mincho" w:cs="MS Mincho" w:hint="eastAsia"/>
                <w:color w:val="000000"/>
                <w:sz w:val="21"/>
                <w:szCs w:val="21"/>
              </w:rPr>
              <w:t> </w:t>
            </w: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                                       年    月    日</w:t>
            </w:r>
          </w:p>
        </w:tc>
      </w:tr>
      <w:tr w:rsidR="004D1331" w:rsidRPr="004D1331" w:rsidTr="004D1331">
        <w:trPr>
          <w:trHeight w:val="1859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财政部门审核意见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业务科室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年   月   日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                                                       </w:t>
            </w:r>
          </w:p>
        </w:tc>
      </w:tr>
      <w:tr w:rsidR="004D1331" w:rsidRPr="004D1331" w:rsidTr="004D1331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ind w:firstLine="4095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预算科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                年   月   日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ind w:firstLine="4095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</w:t>
            </w:r>
          </w:p>
        </w:tc>
      </w:tr>
      <w:tr w:rsidR="004D1331" w:rsidRPr="004D1331" w:rsidTr="004D1331">
        <w:trPr>
          <w:trHeight w:val="1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331" w:rsidRPr="004D1331" w:rsidRDefault="004D1331" w:rsidP="004D133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ind w:firstLine="4095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绩效评价科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                                                       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280" w:lineRule="atLeast"/>
              <w:ind w:right="420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 年   月   日</w:t>
            </w:r>
          </w:p>
          <w:p w:rsidR="004D1331" w:rsidRPr="004D1331" w:rsidRDefault="004D1331" w:rsidP="004D1331">
            <w:pPr>
              <w:wordWrap w:val="0"/>
              <w:adjustRightInd/>
              <w:snapToGrid/>
              <w:spacing w:after="0" w:line="360" w:lineRule="atLeast"/>
              <w:ind w:firstLine="4095"/>
              <w:jc w:val="right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4D1331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（盖章）</w:t>
            </w:r>
          </w:p>
        </w:tc>
      </w:tr>
      <w:tr w:rsidR="004D1331" w:rsidRPr="004D1331" w:rsidTr="004D1331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4D1331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4D1331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4D1331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4D1331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4D1331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331" w:rsidRPr="004D1331" w:rsidRDefault="004D1331" w:rsidP="004D1331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7"/>
                <w:szCs w:val="27"/>
              </w:rPr>
            </w:pPr>
            <w:r w:rsidRPr="004D1331">
              <w:rPr>
                <w:rFonts w:ascii="Arial" w:eastAsia="宋体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4D1331" w:rsidRPr="004D1331" w:rsidRDefault="004D1331" w:rsidP="004D1331">
      <w:pPr>
        <w:adjustRightInd/>
        <w:snapToGrid/>
        <w:spacing w:after="0" w:line="36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4D1331">
        <w:rPr>
          <w:rFonts w:ascii="宋体" w:eastAsia="宋体" w:hAnsi="宋体" w:cs="Times New Roman" w:hint="eastAsia"/>
          <w:color w:val="000000"/>
          <w:sz w:val="21"/>
          <w:szCs w:val="21"/>
        </w:rPr>
        <w:t> </w:t>
      </w:r>
    </w:p>
    <w:p w:rsidR="004D1331" w:rsidRPr="004D1331" w:rsidRDefault="004D1331" w:rsidP="004D1331">
      <w:pPr>
        <w:adjustRightInd/>
        <w:snapToGrid/>
        <w:spacing w:after="0" w:line="360" w:lineRule="atLeast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4D1331">
        <w:rPr>
          <w:rFonts w:ascii="宋体" w:eastAsia="宋体" w:hAnsi="宋体" w:cs="Times New Roman" w:hint="eastAsia"/>
          <w:color w:val="000000"/>
          <w:sz w:val="21"/>
          <w:szCs w:val="21"/>
        </w:rPr>
        <w:t>填报人：严国华               联系电话：88068928     填报日期：2018年01月12日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D1331"/>
    <w:rsid w:val="00323B43"/>
    <w:rsid w:val="003D37D8"/>
    <w:rsid w:val="00401685"/>
    <w:rsid w:val="004358AB"/>
    <w:rsid w:val="004D1331"/>
    <w:rsid w:val="0071412E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2021-05-26T02:55:00Z</dcterms:created>
  <dcterms:modified xsi:type="dcterms:W3CDTF">2021-05-26T02:55:00Z</dcterms:modified>
</cp:coreProperties>
</file>