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91"/>
        <w:jc w:val="center"/>
        <w:rPr>
          <w:rFonts w:eastAsia="方正小标宋简体"/>
          <w:kern w:val="0"/>
          <w:sz w:val="44"/>
          <w:szCs w:val="44"/>
        </w:rPr>
      </w:pPr>
      <w:r>
        <w:rPr>
          <w:rFonts w:eastAsia="方正小标宋简体"/>
          <w:kern w:val="0"/>
          <w:sz w:val="44"/>
          <w:szCs w:val="44"/>
        </w:rPr>
        <w:t xml:space="preserve">    </w:t>
      </w:r>
      <w:r>
        <w:rPr>
          <w:rFonts w:hint="eastAsia" w:eastAsia="方正小标宋简体"/>
          <w:kern w:val="0"/>
          <w:sz w:val="44"/>
          <w:szCs w:val="44"/>
          <w:lang w:val="en-US" w:eastAsia="zh-CN"/>
        </w:rPr>
        <w:t>2018年度</w:t>
      </w:r>
      <w:r>
        <w:rPr>
          <w:rFonts w:hint="eastAsia" w:eastAsia="方正小标宋简体" w:cs="方正小标宋简体"/>
          <w:kern w:val="0"/>
          <w:sz w:val="44"/>
          <w:szCs w:val="44"/>
        </w:rPr>
        <w:t>长沙市公安局望城分局部门整体支出绩效评价基础数据表</w:t>
      </w:r>
    </w:p>
    <w:p>
      <w:pPr>
        <w:widowControl/>
        <w:tabs>
          <w:tab w:val="left" w:pos="3611"/>
          <w:tab w:val="left" w:pos="4791"/>
          <w:tab w:val="left" w:pos="5951"/>
          <w:tab w:val="left" w:pos="7071"/>
          <w:tab w:val="left" w:pos="8191"/>
          <w:tab w:val="left" w:pos="9311"/>
        </w:tabs>
        <w:ind w:left="91"/>
        <w:jc w:val="left"/>
        <w:rPr>
          <w:rFonts w:ascii="仿宋_GB2312" w:eastAsia="仿宋_GB2312"/>
          <w:kern w:val="0"/>
          <w:sz w:val="24"/>
          <w:szCs w:val="24"/>
        </w:rPr>
      </w:pPr>
    </w:p>
    <w:p>
      <w:pPr>
        <w:widowControl/>
        <w:tabs>
          <w:tab w:val="left" w:pos="3611"/>
          <w:tab w:val="left" w:pos="4791"/>
          <w:tab w:val="left" w:pos="5951"/>
          <w:tab w:val="left" w:pos="7071"/>
          <w:tab w:val="left" w:pos="8191"/>
          <w:tab w:val="left" w:pos="9311"/>
        </w:tabs>
        <w:ind w:left="91"/>
        <w:jc w:val="left"/>
        <w:rPr>
          <w:rFonts w:ascii="仿宋_GB2312" w:eastAsia="仿宋_GB2312"/>
          <w:kern w:val="0"/>
          <w:sz w:val="24"/>
          <w:szCs w:val="24"/>
        </w:rPr>
      </w:pPr>
      <w:r>
        <w:rPr>
          <w:rFonts w:hint="eastAsia" w:ascii="仿宋_GB2312" w:eastAsia="仿宋_GB2312" w:cs="仿宋_GB2312"/>
          <w:kern w:val="0"/>
          <w:sz w:val="24"/>
          <w:szCs w:val="24"/>
        </w:rPr>
        <w:t>填报单位：长沙市公安局望城分局</w:t>
      </w:r>
      <w:r>
        <w:rPr>
          <w:rFonts w:ascii="仿宋_GB2312" w:eastAsia="仿宋_GB2312"/>
          <w:kern w:val="0"/>
          <w:sz w:val="24"/>
          <w:szCs w:val="24"/>
        </w:rPr>
        <w:tab/>
      </w:r>
      <w:r>
        <w:rPr>
          <w:rFonts w:ascii="仿宋_GB2312" w:eastAsia="仿宋_GB2312"/>
          <w:kern w:val="0"/>
          <w:sz w:val="24"/>
          <w:szCs w:val="24"/>
        </w:rPr>
        <w:tab/>
      </w:r>
      <w:r>
        <w:rPr>
          <w:rFonts w:ascii="仿宋_GB2312" w:eastAsia="仿宋_GB2312"/>
          <w:kern w:val="0"/>
          <w:sz w:val="24"/>
          <w:szCs w:val="24"/>
        </w:rPr>
        <w:tab/>
      </w:r>
      <w:r>
        <w:rPr>
          <w:rFonts w:ascii="仿宋_GB2312" w:eastAsia="仿宋_GB2312"/>
          <w:kern w:val="0"/>
          <w:sz w:val="24"/>
          <w:szCs w:val="24"/>
        </w:rPr>
        <w:tab/>
      </w:r>
      <w:r>
        <w:rPr>
          <w:rFonts w:ascii="仿宋_GB2312" w:eastAsia="仿宋_GB2312"/>
          <w:kern w:val="0"/>
          <w:sz w:val="24"/>
          <w:szCs w:val="24"/>
        </w:rPr>
        <w:tab/>
      </w:r>
      <w:r>
        <w:rPr>
          <w:rFonts w:ascii="仿宋_GB2312" w:eastAsia="仿宋_GB2312"/>
          <w:kern w:val="0"/>
          <w:sz w:val="24"/>
          <w:szCs w:val="24"/>
        </w:rPr>
        <w:tab/>
      </w:r>
    </w:p>
    <w:tbl>
      <w:tblPr>
        <w:tblStyle w:val="5"/>
        <w:tblW w:w="9878" w:type="dxa"/>
        <w:jc w:val="center"/>
        <w:tblInd w:w="0" w:type="dxa"/>
        <w:tblLayout w:type="fixed"/>
        <w:tblCellMar>
          <w:top w:w="0" w:type="dxa"/>
          <w:left w:w="108" w:type="dxa"/>
          <w:bottom w:w="0" w:type="dxa"/>
          <w:right w:w="108" w:type="dxa"/>
        </w:tblCellMar>
      </w:tblPr>
      <w:tblGrid>
        <w:gridCol w:w="3480"/>
        <w:gridCol w:w="936"/>
        <w:gridCol w:w="936"/>
        <w:gridCol w:w="987"/>
        <w:gridCol w:w="1217"/>
        <w:gridCol w:w="1187"/>
        <w:gridCol w:w="1135"/>
      </w:tblGrid>
      <w:tr>
        <w:tblPrEx>
          <w:tblLayout w:type="fixed"/>
          <w:tblCellMar>
            <w:top w:w="0" w:type="dxa"/>
            <w:left w:w="108" w:type="dxa"/>
            <w:bottom w:w="0" w:type="dxa"/>
            <w:right w:w="108" w:type="dxa"/>
          </w:tblCellMar>
        </w:tblPrEx>
        <w:trPr>
          <w:trHeight w:val="525" w:hRule="atLeast"/>
          <w:jc w:val="center"/>
        </w:trPr>
        <w:tc>
          <w:tcPr>
            <w:tcW w:w="34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财政供养人员情况</w:t>
            </w:r>
          </w:p>
        </w:tc>
        <w:tc>
          <w:tcPr>
            <w:tcW w:w="18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编制数</w:t>
            </w:r>
          </w:p>
        </w:tc>
        <w:tc>
          <w:tcPr>
            <w:tcW w:w="220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2018</w:t>
            </w:r>
            <w:r>
              <w:rPr>
                <w:rFonts w:hint="eastAsia" w:eastAsia="仿宋_GB2312" w:cs="仿宋_GB2312"/>
                <w:kern w:val="0"/>
                <w:sz w:val="24"/>
                <w:szCs w:val="24"/>
              </w:rPr>
              <w:t>年实际</w:t>
            </w:r>
          </w:p>
          <w:p>
            <w:pPr>
              <w:widowControl/>
              <w:spacing w:line="280" w:lineRule="exact"/>
              <w:jc w:val="center"/>
              <w:rPr>
                <w:rFonts w:eastAsia="仿宋_GB2312"/>
                <w:kern w:val="0"/>
                <w:sz w:val="24"/>
                <w:szCs w:val="24"/>
              </w:rPr>
            </w:pPr>
            <w:r>
              <w:rPr>
                <w:rFonts w:hint="eastAsia" w:eastAsia="仿宋_GB2312" w:cs="仿宋_GB2312"/>
                <w:kern w:val="0"/>
                <w:sz w:val="24"/>
                <w:szCs w:val="24"/>
              </w:rPr>
              <w:t>在职人数</w:t>
            </w:r>
          </w:p>
        </w:tc>
        <w:tc>
          <w:tcPr>
            <w:tcW w:w="232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控制率</w:t>
            </w:r>
          </w:p>
        </w:tc>
      </w:tr>
      <w:tr>
        <w:tblPrEx>
          <w:tblLayout w:type="fixed"/>
          <w:tblCellMar>
            <w:top w:w="0" w:type="dxa"/>
            <w:left w:w="108" w:type="dxa"/>
            <w:bottom w:w="0" w:type="dxa"/>
            <w:right w:w="108" w:type="dxa"/>
          </w:tblCellMar>
        </w:tblPrEx>
        <w:trPr>
          <w:trHeight w:val="525" w:hRule="atLeast"/>
          <w:jc w:val="center"/>
        </w:trPr>
        <w:tc>
          <w:tcPr>
            <w:tcW w:w="3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441</w:t>
            </w:r>
          </w:p>
        </w:tc>
        <w:tc>
          <w:tcPr>
            <w:tcW w:w="220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441</w:t>
            </w:r>
            <w:r>
              <w:rPr>
                <w:rFonts w:hint="eastAsia" w:eastAsia="仿宋_GB2312" w:cs="仿宋_GB2312"/>
                <w:kern w:val="0"/>
                <w:sz w:val="24"/>
                <w:szCs w:val="24"/>
              </w:rPr>
              <w:t>　</w:t>
            </w:r>
          </w:p>
        </w:tc>
        <w:tc>
          <w:tcPr>
            <w:tcW w:w="232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100%</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经费控制情况</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2017</w:t>
            </w:r>
            <w:r>
              <w:rPr>
                <w:rFonts w:hint="eastAsia" w:eastAsia="仿宋_GB2312" w:cs="仿宋_GB2312"/>
                <w:kern w:val="0"/>
                <w:sz w:val="24"/>
                <w:szCs w:val="24"/>
              </w:rPr>
              <w:t>年决算数</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2018</w:t>
            </w:r>
            <w:r>
              <w:rPr>
                <w:rFonts w:hint="eastAsia" w:eastAsia="仿宋_GB2312" w:cs="仿宋_GB2312"/>
                <w:kern w:val="0"/>
                <w:sz w:val="24"/>
                <w:szCs w:val="24"/>
              </w:rPr>
              <w:t>年预算数</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2018</w:t>
            </w:r>
            <w:r>
              <w:rPr>
                <w:rFonts w:hint="eastAsia" w:eastAsia="仿宋_GB2312" w:cs="仿宋_GB2312"/>
                <w:kern w:val="0"/>
                <w:sz w:val="24"/>
                <w:szCs w:val="24"/>
              </w:rPr>
              <w:t>年决算数</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三公经费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9290536</w:t>
            </w:r>
            <w:r>
              <w:rPr>
                <w:rFonts w:hint="eastAsia" w:eastAsia="仿宋_GB2312" w:cs="仿宋_GB2312"/>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7000000</w:t>
            </w:r>
            <w:r>
              <w:rPr>
                <w:rFonts w:hint="eastAsia" w:eastAsia="仿宋_GB2312" w:cs="仿宋_GB2312"/>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5216651</w:t>
            </w: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eastAsia="仿宋_GB2312"/>
                <w:kern w:val="0"/>
                <w:sz w:val="24"/>
                <w:szCs w:val="24"/>
              </w:rPr>
              <w:t xml:space="preserve">   1</w:t>
            </w:r>
            <w:r>
              <w:rPr>
                <w:rFonts w:hint="eastAsia" w:eastAsia="仿宋_GB2312" w:cs="仿宋_GB2312"/>
                <w:kern w:val="0"/>
                <w:sz w:val="24"/>
                <w:szCs w:val="24"/>
              </w:rPr>
              <w:t>、公务用车购置和维护经费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9262642</w:t>
            </w:r>
            <w:r>
              <w:rPr>
                <w:rFonts w:hint="eastAsia" w:eastAsia="仿宋_GB2312" w:cs="仿宋_GB2312"/>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6000000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5195087</w:t>
            </w: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eastAsia="仿宋_GB2312"/>
                <w:kern w:val="0"/>
                <w:sz w:val="24"/>
                <w:szCs w:val="24"/>
              </w:rPr>
              <w:t xml:space="preserve">       </w:t>
            </w:r>
            <w:r>
              <w:rPr>
                <w:rFonts w:hint="eastAsia" w:eastAsia="仿宋_GB2312" w:cs="仿宋_GB2312"/>
                <w:kern w:val="0"/>
                <w:sz w:val="24"/>
                <w:szCs w:val="24"/>
              </w:rPr>
              <w:t>其中：公车购置</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3654100</w:t>
            </w:r>
            <w:r>
              <w:rPr>
                <w:rFonts w:hint="eastAsia" w:eastAsia="仿宋_GB2312" w:cs="仿宋_GB2312"/>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0</w:t>
            </w:r>
            <w:r>
              <w:rPr>
                <w:rFonts w:hint="eastAsia" w:eastAsia="仿宋_GB2312" w:cs="仿宋_GB2312"/>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ind w:firstLine="720" w:firstLineChars="300"/>
              <w:rPr>
                <w:rFonts w:eastAsia="仿宋_GB2312"/>
                <w:kern w:val="0"/>
                <w:sz w:val="24"/>
                <w:szCs w:val="24"/>
              </w:rPr>
            </w:pPr>
            <w:r>
              <w:rPr>
                <w:rFonts w:eastAsia="仿宋_GB2312"/>
                <w:kern w:val="0"/>
                <w:sz w:val="24"/>
                <w:szCs w:val="24"/>
              </w:rPr>
              <w:t>0</w:t>
            </w: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eastAsia="仿宋_GB2312"/>
                <w:kern w:val="0"/>
                <w:sz w:val="24"/>
                <w:szCs w:val="24"/>
              </w:rPr>
              <w:t xml:space="preserve">             </w:t>
            </w:r>
            <w:r>
              <w:rPr>
                <w:rFonts w:hint="eastAsia" w:eastAsia="仿宋_GB2312" w:cs="仿宋_GB2312"/>
                <w:kern w:val="0"/>
                <w:sz w:val="24"/>
                <w:szCs w:val="24"/>
              </w:rPr>
              <w:t>公车运行维护</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5608542</w:t>
            </w:r>
            <w:r>
              <w:rPr>
                <w:rFonts w:hint="eastAsia" w:eastAsia="仿宋_GB2312" w:cs="仿宋_GB2312"/>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6000000</w:t>
            </w:r>
            <w:r>
              <w:rPr>
                <w:rFonts w:hint="eastAsia" w:eastAsia="仿宋_GB2312" w:cs="仿宋_GB2312"/>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5195087</w:t>
            </w: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eastAsia="仿宋_GB2312"/>
                <w:kern w:val="0"/>
                <w:sz w:val="24"/>
                <w:szCs w:val="24"/>
              </w:rPr>
              <w:t xml:space="preserve">   2</w:t>
            </w:r>
            <w:r>
              <w:rPr>
                <w:rFonts w:hint="eastAsia" w:eastAsia="仿宋_GB2312" w:cs="仿宋_GB2312"/>
                <w:kern w:val="0"/>
                <w:sz w:val="24"/>
                <w:szCs w:val="24"/>
              </w:rPr>
              <w:t>、出国经费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0</w:t>
            </w:r>
            <w:r>
              <w:rPr>
                <w:rFonts w:hint="eastAsia" w:eastAsia="仿宋_GB2312" w:cs="仿宋_GB2312"/>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0</w:t>
            </w: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eastAsia="仿宋_GB2312"/>
                <w:kern w:val="0"/>
                <w:sz w:val="24"/>
                <w:szCs w:val="24"/>
              </w:rPr>
              <w:t xml:space="preserve">   3</w:t>
            </w:r>
            <w:r>
              <w:rPr>
                <w:rFonts w:hint="eastAsia" w:eastAsia="仿宋_GB2312" w:cs="仿宋_GB2312"/>
                <w:kern w:val="0"/>
                <w:sz w:val="24"/>
                <w:szCs w:val="24"/>
              </w:rPr>
              <w:t>、公务接待</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27894</w:t>
            </w:r>
            <w:r>
              <w:rPr>
                <w:rFonts w:hint="eastAsia" w:eastAsia="仿宋_GB2312" w:cs="仿宋_GB2312"/>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1000000</w:t>
            </w:r>
            <w:r>
              <w:rPr>
                <w:rFonts w:hint="eastAsia" w:eastAsia="仿宋_GB2312" w:cs="仿宋_GB2312"/>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21564</w:t>
            </w: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项目支出：</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160590415</w:t>
            </w:r>
            <w:r>
              <w:rPr>
                <w:rFonts w:hint="eastAsia" w:eastAsia="仿宋_GB2312" w:cs="仿宋_GB2312"/>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110800000</w:t>
            </w:r>
            <w:r>
              <w:rPr>
                <w:rFonts w:hint="eastAsia" w:eastAsia="仿宋_GB2312" w:cs="仿宋_GB2312"/>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184468413</w:t>
            </w: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eastAsia="仿宋_GB2312"/>
                <w:kern w:val="0"/>
                <w:sz w:val="24"/>
                <w:szCs w:val="24"/>
              </w:rPr>
              <w:t xml:space="preserve">    1</w:t>
            </w:r>
            <w:r>
              <w:rPr>
                <w:rFonts w:hint="eastAsia" w:eastAsia="仿宋_GB2312" w:cs="仿宋_GB2312"/>
                <w:kern w:val="0"/>
                <w:sz w:val="24"/>
                <w:szCs w:val="24"/>
              </w:rPr>
              <w:t>、业务工作专项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152602711</w:t>
            </w:r>
            <w:r>
              <w:rPr>
                <w:rFonts w:hint="eastAsia" w:eastAsia="仿宋_GB2312" w:cs="仿宋_GB2312"/>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103640000</w:t>
            </w:r>
            <w:r>
              <w:rPr>
                <w:rFonts w:hint="eastAsia" w:eastAsia="仿宋_GB2312" w:cs="仿宋_GB2312"/>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177308413</w:t>
            </w: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eastAsia="仿宋_GB2312"/>
                <w:kern w:val="0"/>
                <w:sz w:val="24"/>
                <w:szCs w:val="24"/>
              </w:rPr>
              <w:t xml:space="preserve">    2</w:t>
            </w:r>
            <w:r>
              <w:rPr>
                <w:rFonts w:hint="eastAsia" w:eastAsia="仿宋_GB2312" w:cs="仿宋_GB2312"/>
                <w:kern w:val="0"/>
                <w:sz w:val="24"/>
                <w:szCs w:val="24"/>
              </w:rPr>
              <w:t>、运行维护专项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7987704</w:t>
            </w:r>
            <w:r>
              <w:rPr>
                <w:rFonts w:hint="eastAsia" w:eastAsia="仿宋_GB2312" w:cs="仿宋_GB2312"/>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7160000</w:t>
            </w:r>
            <w:r>
              <w:rPr>
                <w:rFonts w:hint="eastAsia" w:eastAsia="仿宋_GB2312" w:cs="仿宋_GB2312"/>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7160000</w:t>
            </w: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eastAsia="仿宋_GB2312"/>
                <w:kern w:val="0"/>
                <w:sz w:val="24"/>
                <w:szCs w:val="24"/>
              </w:rPr>
              <w:t xml:space="preserve">          ……</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公用经费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6000000</w:t>
            </w:r>
            <w:r>
              <w:rPr>
                <w:rFonts w:hint="eastAsia" w:eastAsia="仿宋_GB2312" w:cs="仿宋_GB2312"/>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2080000</w:t>
            </w:r>
            <w:r>
              <w:rPr>
                <w:rFonts w:hint="eastAsia" w:eastAsia="仿宋_GB2312" w:cs="仿宋_GB2312"/>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2443074</w:t>
            </w: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eastAsia="仿宋_GB2312"/>
                <w:kern w:val="0"/>
                <w:sz w:val="24"/>
                <w:szCs w:val="24"/>
              </w:rPr>
              <w:t xml:space="preserve">    </w:t>
            </w:r>
            <w:r>
              <w:rPr>
                <w:rFonts w:hint="eastAsia" w:eastAsia="仿宋_GB2312" w:cs="仿宋_GB2312"/>
                <w:kern w:val="0"/>
                <w:sz w:val="24"/>
                <w:szCs w:val="24"/>
              </w:rPr>
              <w:t>其中：办公经费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1800000</w:t>
            </w:r>
            <w:r>
              <w:rPr>
                <w:rFonts w:hint="eastAsia" w:eastAsia="仿宋_GB2312" w:cs="仿宋_GB2312"/>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color w:val="FF0000"/>
                <w:kern w:val="0"/>
                <w:sz w:val="24"/>
                <w:szCs w:val="24"/>
              </w:rPr>
            </w:pPr>
            <w:r>
              <w:rPr>
                <w:rFonts w:eastAsia="仿宋_GB2312"/>
                <w:kern w:val="0"/>
                <w:sz w:val="24"/>
                <w:szCs w:val="24"/>
              </w:rPr>
              <w:t>1400000</w:t>
            </w:r>
            <w:r>
              <w:rPr>
                <w:rFonts w:hint="eastAsia" w:eastAsia="仿宋_GB2312" w:cs="仿宋_GB2312"/>
                <w:color w:val="FF0000"/>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1326380</w:t>
            </w: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eastAsia="仿宋_GB2312"/>
                <w:kern w:val="0"/>
                <w:sz w:val="24"/>
                <w:szCs w:val="24"/>
              </w:rPr>
              <w:t xml:space="preserve">          </w:t>
            </w:r>
            <w:r>
              <w:rPr>
                <w:rFonts w:hint="eastAsia" w:eastAsia="仿宋_GB2312" w:cs="仿宋_GB2312"/>
                <w:kern w:val="0"/>
                <w:sz w:val="24"/>
                <w:szCs w:val="24"/>
              </w:rPr>
              <w:t>水费、电费、差旅费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2918673</w:t>
            </w:r>
            <w:r>
              <w:rPr>
                <w:rFonts w:hint="eastAsia" w:eastAsia="仿宋_GB2312" w:cs="仿宋_GB2312"/>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color w:val="FF0000"/>
                <w:kern w:val="0"/>
                <w:sz w:val="24"/>
                <w:szCs w:val="24"/>
              </w:rPr>
            </w:pPr>
            <w:r>
              <w:rPr>
                <w:rFonts w:eastAsia="仿宋_GB2312"/>
                <w:kern w:val="0"/>
                <w:sz w:val="24"/>
                <w:szCs w:val="24"/>
              </w:rPr>
              <w:t>680000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613680</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eastAsia="仿宋_GB2312"/>
                <w:kern w:val="0"/>
                <w:sz w:val="24"/>
                <w:szCs w:val="24"/>
              </w:rPr>
              <w:t xml:space="preserve">          </w:t>
            </w:r>
            <w:r>
              <w:rPr>
                <w:rFonts w:hint="eastAsia" w:eastAsia="仿宋_GB2312" w:cs="仿宋_GB2312"/>
                <w:kern w:val="0"/>
                <w:sz w:val="24"/>
                <w:szCs w:val="24"/>
              </w:rPr>
              <w:t>会议费、培训费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1281327</w:t>
            </w:r>
            <w:r>
              <w:rPr>
                <w:rFonts w:hint="eastAsia" w:eastAsia="仿宋_GB2312" w:cs="仿宋_GB2312"/>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color w:val="FF0000"/>
                <w:kern w:val="0"/>
                <w:sz w:val="24"/>
                <w:szCs w:val="24"/>
              </w:rPr>
            </w:pPr>
            <w:r>
              <w:rPr>
                <w:rFonts w:hint="eastAsia" w:eastAsia="仿宋_GB2312" w:cs="仿宋_GB2312"/>
                <w:color w:val="FF0000"/>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color w:val="FF0000"/>
                <w:kern w:val="0"/>
                <w:sz w:val="24"/>
                <w:szCs w:val="24"/>
              </w:rPr>
            </w:pPr>
            <w:r>
              <w:rPr>
                <w:rFonts w:hint="eastAsia" w:eastAsia="仿宋_GB2312" w:cs="仿宋_GB2312"/>
                <w:color w:val="FF0000"/>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政府采购金额</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174396000</w:t>
            </w:r>
            <w:r>
              <w:rPr>
                <w:rFonts w:hint="eastAsia" w:eastAsia="仿宋_GB2312" w:cs="仿宋_GB2312"/>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62897341</w:t>
            </w: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部门整体支出预算调整</w:t>
            </w:r>
            <w:r>
              <w:rPr>
                <w:rFonts w:eastAsia="仿宋_GB2312"/>
                <w:kern w:val="0"/>
                <w:sz w:val="24"/>
                <w:szCs w:val="24"/>
              </w:rPr>
              <w:t xml:space="preserve"> </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293771439</w:t>
            </w:r>
            <w:r>
              <w:rPr>
                <w:rFonts w:hint="eastAsia" w:eastAsia="仿宋_GB2312" w:cs="仿宋_GB2312"/>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eastAsia="仿宋_GB2312"/>
                <w:kern w:val="0"/>
                <w:sz w:val="24"/>
                <w:szCs w:val="24"/>
              </w:rPr>
              <w:t>293771439</w:t>
            </w: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856" w:hRule="atLeast"/>
          <w:jc w:val="center"/>
        </w:trPr>
        <w:tc>
          <w:tcPr>
            <w:tcW w:w="34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楼堂馆所控制情况</w:t>
            </w:r>
          </w:p>
          <w:p>
            <w:pPr>
              <w:widowControl/>
              <w:spacing w:line="280" w:lineRule="exact"/>
              <w:jc w:val="center"/>
              <w:rPr>
                <w:rFonts w:eastAsia="仿宋_GB2312"/>
                <w:kern w:val="0"/>
                <w:sz w:val="24"/>
                <w:szCs w:val="24"/>
              </w:rPr>
            </w:pPr>
            <w:r>
              <w:rPr>
                <w:rFonts w:hint="eastAsia" w:eastAsia="仿宋_GB2312" w:cs="仿宋_GB2312"/>
                <w:kern w:val="0"/>
                <w:sz w:val="24"/>
                <w:szCs w:val="24"/>
              </w:rPr>
              <w:t>（</w:t>
            </w:r>
            <w:r>
              <w:rPr>
                <w:rFonts w:eastAsia="仿宋_GB2312"/>
                <w:kern w:val="0"/>
                <w:sz w:val="24"/>
                <w:szCs w:val="24"/>
              </w:rPr>
              <w:t>2018</w:t>
            </w:r>
            <w:r>
              <w:rPr>
                <w:rFonts w:hint="eastAsia" w:eastAsia="仿宋_GB2312" w:cs="仿宋_GB2312"/>
                <w:kern w:val="0"/>
                <w:sz w:val="24"/>
                <w:szCs w:val="24"/>
              </w:rPr>
              <w:t>年完工项目）</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批复</w:t>
            </w:r>
          </w:p>
          <w:p>
            <w:pPr>
              <w:widowControl/>
              <w:spacing w:line="280" w:lineRule="exact"/>
              <w:jc w:val="center"/>
              <w:rPr>
                <w:rFonts w:eastAsia="仿宋_GB2312"/>
                <w:kern w:val="0"/>
                <w:sz w:val="24"/>
                <w:szCs w:val="24"/>
              </w:rPr>
            </w:pPr>
            <w:r>
              <w:rPr>
                <w:rFonts w:hint="eastAsia" w:eastAsia="仿宋_GB2312" w:cs="仿宋_GB2312"/>
                <w:kern w:val="0"/>
                <w:sz w:val="24"/>
                <w:szCs w:val="24"/>
              </w:rPr>
              <w:t>规模</w:t>
            </w:r>
          </w:p>
          <w:p>
            <w:pPr>
              <w:widowControl/>
              <w:spacing w:line="280" w:lineRule="exact"/>
              <w:jc w:val="center"/>
              <w:rPr>
                <w:rFonts w:eastAsia="仿宋_GB2312"/>
                <w:kern w:val="0"/>
                <w:sz w:val="24"/>
                <w:szCs w:val="24"/>
              </w:rPr>
            </w:pPr>
            <w:r>
              <w:rPr>
                <w:rFonts w:hint="eastAsia" w:eastAsia="仿宋_GB2312" w:cs="仿宋_GB2312"/>
                <w:kern w:val="0"/>
                <w:sz w:val="24"/>
                <w:szCs w:val="24"/>
              </w:rPr>
              <w:t>（</w:t>
            </w:r>
            <w:r>
              <w:rPr>
                <w:rFonts w:hint="eastAsia" w:cs="宋体"/>
                <w:kern w:val="0"/>
                <w:sz w:val="24"/>
                <w:szCs w:val="24"/>
              </w:rPr>
              <w:t>㎡</w:t>
            </w:r>
            <w:r>
              <w:rPr>
                <w:rFonts w:hint="eastAsia" w:eastAsia="仿宋_GB2312" w:cs="仿宋_GB2312"/>
                <w:kern w:val="0"/>
                <w:sz w:val="24"/>
                <w:szCs w:val="24"/>
              </w:rPr>
              <w:t>）</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实际</w:t>
            </w:r>
          </w:p>
          <w:p>
            <w:pPr>
              <w:widowControl/>
              <w:spacing w:line="280" w:lineRule="exact"/>
              <w:jc w:val="center"/>
              <w:rPr>
                <w:rFonts w:eastAsia="仿宋_GB2312"/>
                <w:kern w:val="0"/>
                <w:sz w:val="24"/>
                <w:szCs w:val="24"/>
              </w:rPr>
            </w:pPr>
            <w:r>
              <w:rPr>
                <w:rFonts w:hint="eastAsia" w:eastAsia="仿宋_GB2312" w:cs="仿宋_GB2312"/>
                <w:kern w:val="0"/>
                <w:sz w:val="24"/>
                <w:szCs w:val="24"/>
              </w:rPr>
              <w:t>规模</w:t>
            </w:r>
          </w:p>
          <w:p>
            <w:pPr>
              <w:widowControl/>
              <w:spacing w:line="280" w:lineRule="exact"/>
              <w:jc w:val="center"/>
              <w:rPr>
                <w:rFonts w:eastAsia="仿宋_GB2312"/>
                <w:kern w:val="0"/>
                <w:sz w:val="24"/>
                <w:szCs w:val="24"/>
              </w:rPr>
            </w:pPr>
            <w:r>
              <w:rPr>
                <w:rFonts w:hint="eastAsia" w:eastAsia="仿宋_GB2312" w:cs="仿宋_GB2312"/>
                <w:kern w:val="0"/>
                <w:sz w:val="24"/>
                <w:szCs w:val="24"/>
              </w:rPr>
              <w:t>（</w:t>
            </w:r>
            <w:r>
              <w:rPr>
                <w:rFonts w:hint="eastAsia" w:cs="宋体"/>
                <w:kern w:val="0"/>
                <w:sz w:val="24"/>
                <w:szCs w:val="24"/>
              </w:rPr>
              <w:t>㎡</w:t>
            </w:r>
            <w:r>
              <w:rPr>
                <w:rFonts w:hint="eastAsia" w:eastAsia="仿宋_GB2312" w:cs="仿宋_GB2312"/>
                <w:kern w:val="0"/>
                <w:sz w:val="24"/>
                <w:szCs w:val="24"/>
              </w:rPr>
              <w:t>）</w:t>
            </w:r>
          </w:p>
        </w:tc>
        <w:tc>
          <w:tcPr>
            <w:tcW w:w="987"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规</w:t>
            </w:r>
            <w:r>
              <w:rPr>
                <w:rFonts w:eastAsia="仿宋_GB2312"/>
                <w:kern w:val="0"/>
                <w:sz w:val="24"/>
                <w:szCs w:val="24"/>
              </w:rPr>
              <w:t xml:space="preserve">  </w:t>
            </w:r>
            <w:r>
              <w:rPr>
                <w:rFonts w:hint="eastAsia" w:eastAsia="仿宋_GB2312" w:cs="仿宋_GB2312"/>
                <w:kern w:val="0"/>
                <w:sz w:val="24"/>
                <w:szCs w:val="24"/>
              </w:rPr>
              <w:t>模</w:t>
            </w:r>
          </w:p>
          <w:p>
            <w:pPr>
              <w:widowControl/>
              <w:spacing w:line="280" w:lineRule="exact"/>
              <w:jc w:val="center"/>
              <w:rPr>
                <w:rFonts w:eastAsia="仿宋_GB2312"/>
                <w:kern w:val="0"/>
                <w:sz w:val="24"/>
                <w:szCs w:val="24"/>
              </w:rPr>
            </w:pPr>
            <w:r>
              <w:rPr>
                <w:rFonts w:hint="eastAsia" w:eastAsia="仿宋_GB2312" w:cs="仿宋_GB2312"/>
                <w:kern w:val="0"/>
                <w:sz w:val="24"/>
                <w:szCs w:val="24"/>
              </w:rPr>
              <w:t>控制率</w:t>
            </w:r>
          </w:p>
        </w:tc>
        <w:tc>
          <w:tcPr>
            <w:tcW w:w="1217"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预算投资</w:t>
            </w:r>
          </w:p>
          <w:p>
            <w:pPr>
              <w:widowControl/>
              <w:spacing w:line="280" w:lineRule="exact"/>
              <w:jc w:val="center"/>
              <w:rPr>
                <w:rFonts w:eastAsia="仿宋_GB2312"/>
                <w:kern w:val="0"/>
                <w:sz w:val="24"/>
                <w:szCs w:val="24"/>
              </w:rPr>
            </w:pPr>
            <w:r>
              <w:rPr>
                <w:rFonts w:hint="eastAsia" w:eastAsia="仿宋_GB2312" w:cs="仿宋_GB2312"/>
                <w:kern w:val="0"/>
                <w:sz w:val="24"/>
                <w:szCs w:val="24"/>
              </w:rPr>
              <w:t>（万元）</w:t>
            </w:r>
          </w:p>
        </w:tc>
        <w:tc>
          <w:tcPr>
            <w:tcW w:w="1187"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实际投资</w:t>
            </w:r>
          </w:p>
          <w:p>
            <w:pPr>
              <w:widowControl/>
              <w:spacing w:line="280" w:lineRule="exact"/>
              <w:jc w:val="center"/>
              <w:rPr>
                <w:rFonts w:eastAsia="仿宋_GB2312"/>
                <w:kern w:val="0"/>
                <w:sz w:val="24"/>
                <w:szCs w:val="24"/>
              </w:rPr>
            </w:pPr>
            <w:r>
              <w:rPr>
                <w:rFonts w:hint="eastAsia" w:eastAsia="仿宋_GB2312" w:cs="仿宋_GB2312"/>
                <w:kern w:val="0"/>
                <w:sz w:val="24"/>
                <w:szCs w:val="24"/>
              </w:rPr>
              <w:t>（万元）</w:t>
            </w:r>
          </w:p>
        </w:tc>
        <w:tc>
          <w:tcPr>
            <w:tcW w:w="1135" w:type="dxa"/>
            <w:tcBorders>
              <w:top w:val="nil"/>
              <w:left w:val="nil"/>
              <w:bottom w:val="single" w:color="auto" w:sz="4" w:space="0"/>
              <w:right w:val="single" w:color="auto" w:sz="4" w:space="0"/>
            </w:tcBorders>
            <w:vAlign w:val="center"/>
          </w:tcPr>
          <w:p>
            <w:pPr>
              <w:widowControl/>
              <w:spacing w:line="280" w:lineRule="exact"/>
              <w:jc w:val="center"/>
              <w:rPr>
                <w:rFonts w:eastAsia="仿宋_GB2312"/>
                <w:spacing w:val="-6"/>
                <w:kern w:val="0"/>
                <w:sz w:val="24"/>
                <w:szCs w:val="24"/>
              </w:rPr>
            </w:pPr>
            <w:r>
              <w:rPr>
                <w:rFonts w:hint="eastAsia" w:eastAsia="仿宋_GB2312" w:cs="仿宋_GB2312"/>
                <w:spacing w:val="-6"/>
                <w:kern w:val="0"/>
                <w:sz w:val="24"/>
                <w:szCs w:val="24"/>
              </w:rPr>
              <w:t>投资概算控制率</w:t>
            </w:r>
          </w:p>
        </w:tc>
      </w:tr>
      <w:tr>
        <w:tblPrEx>
          <w:tblLayout w:type="fixed"/>
          <w:tblCellMar>
            <w:top w:w="0" w:type="dxa"/>
            <w:left w:w="108" w:type="dxa"/>
            <w:bottom w:w="0" w:type="dxa"/>
            <w:right w:w="108" w:type="dxa"/>
          </w:tblCellMar>
        </w:tblPrEx>
        <w:trPr>
          <w:trHeight w:val="678" w:hRule="atLeast"/>
          <w:jc w:val="center"/>
        </w:trPr>
        <w:tc>
          <w:tcPr>
            <w:tcW w:w="34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4"/>
                <w:szCs w:val="24"/>
              </w:rPr>
            </w:pP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0</w:t>
            </w:r>
          </w:p>
        </w:tc>
        <w:tc>
          <w:tcPr>
            <w:tcW w:w="936"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0</w:t>
            </w:r>
          </w:p>
        </w:tc>
        <w:tc>
          <w:tcPr>
            <w:tcW w:w="987"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0</w:t>
            </w:r>
          </w:p>
        </w:tc>
        <w:tc>
          <w:tcPr>
            <w:tcW w:w="1217"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0</w:t>
            </w:r>
          </w:p>
        </w:tc>
        <w:tc>
          <w:tcPr>
            <w:tcW w:w="1187"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0</w:t>
            </w:r>
          </w:p>
        </w:tc>
        <w:tc>
          <w:tcPr>
            <w:tcW w:w="1135"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0</w:t>
            </w:r>
          </w:p>
        </w:tc>
      </w:tr>
      <w:tr>
        <w:tblPrEx>
          <w:tblLayout w:type="fixed"/>
          <w:tblCellMar>
            <w:top w:w="0" w:type="dxa"/>
            <w:left w:w="108" w:type="dxa"/>
            <w:bottom w:w="0" w:type="dxa"/>
            <w:right w:w="108" w:type="dxa"/>
          </w:tblCellMar>
        </w:tblPrEx>
        <w:trPr>
          <w:trHeight w:val="65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厉行节约保障措施</w:t>
            </w:r>
          </w:p>
        </w:tc>
        <w:tc>
          <w:tcPr>
            <w:tcW w:w="6398" w:type="dxa"/>
            <w:gridSpan w:val="6"/>
            <w:tcBorders>
              <w:top w:val="single" w:color="auto" w:sz="4" w:space="0"/>
              <w:left w:val="nil"/>
              <w:bottom w:val="single" w:color="auto" w:sz="4" w:space="0"/>
              <w:right w:val="single" w:color="000000" w:sz="4" w:space="0"/>
            </w:tcBorders>
            <w:vAlign w:val="center"/>
          </w:tcPr>
          <w:p>
            <w:pPr>
              <w:widowControl/>
              <w:spacing w:line="280" w:lineRule="exact"/>
              <w:jc w:val="center"/>
              <w:rPr>
                <w:rFonts w:eastAsia="仿宋_GB2312"/>
                <w:kern w:val="0"/>
                <w:sz w:val="24"/>
                <w:szCs w:val="24"/>
              </w:rPr>
            </w:pPr>
            <w:r>
              <w:rPr>
                <w:rFonts w:hint="eastAsia" w:eastAsia="仿宋_GB2312" w:cs="仿宋_GB2312"/>
                <w:kern w:val="0"/>
                <w:sz w:val="24"/>
                <w:szCs w:val="24"/>
              </w:rPr>
              <w:t>严格控制三公经费支出和公用经费支出　</w:t>
            </w:r>
          </w:p>
        </w:tc>
      </w:tr>
      <w:tr>
        <w:tblPrEx>
          <w:tblLayout w:type="fixed"/>
          <w:tblCellMar>
            <w:top w:w="0" w:type="dxa"/>
            <w:left w:w="108" w:type="dxa"/>
            <w:bottom w:w="0" w:type="dxa"/>
            <w:right w:w="108" w:type="dxa"/>
          </w:tblCellMar>
        </w:tblPrEx>
        <w:trPr>
          <w:trHeight w:val="700" w:hRule="atLeast"/>
          <w:jc w:val="center"/>
        </w:trPr>
        <w:tc>
          <w:tcPr>
            <w:tcW w:w="9878" w:type="dxa"/>
            <w:gridSpan w:val="7"/>
            <w:tcBorders>
              <w:top w:val="single" w:color="auto" w:sz="4" w:space="0"/>
              <w:left w:val="nil"/>
              <w:bottom w:val="nil"/>
              <w:right w:val="nil"/>
            </w:tcBorders>
            <w:vAlign w:val="center"/>
          </w:tcPr>
          <w:p>
            <w:pPr>
              <w:widowControl/>
              <w:spacing w:line="340" w:lineRule="exact"/>
              <w:ind w:left="31680" w:hanging="653" w:hangingChars="297"/>
              <w:jc w:val="left"/>
              <w:rPr>
                <w:rFonts w:eastAsia="仿宋_GB2312"/>
                <w:kern w:val="0"/>
                <w:sz w:val="22"/>
                <w:szCs w:val="22"/>
              </w:rPr>
            </w:pPr>
            <w:r>
              <w:rPr>
                <w:rFonts w:hint="eastAsia" w:eastAsia="仿宋_GB2312" w:cs="仿宋_GB2312"/>
                <w:kern w:val="0"/>
                <w:sz w:val="22"/>
                <w:szCs w:val="22"/>
              </w:rPr>
              <w:t>说明：</w:t>
            </w:r>
            <w:r>
              <w:rPr>
                <w:rFonts w:eastAsia="仿宋_GB2312"/>
                <w:kern w:val="0"/>
                <w:sz w:val="22"/>
                <w:szCs w:val="22"/>
              </w:rPr>
              <w:t>“</w:t>
            </w:r>
            <w:r>
              <w:rPr>
                <w:rFonts w:hint="eastAsia" w:eastAsia="仿宋_GB2312" w:cs="仿宋_GB2312"/>
                <w:kern w:val="0"/>
                <w:sz w:val="22"/>
                <w:szCs w:val="22"/>
              </w:rPr>
              <w:t>项目支出</w:t>
            </w:r>
            <w:r>
              <w:rPr>
                <w:rFonts w:eastAsia="仿宋_GB2312"/>
                <w:kern w:val="0"/>
                <w:sz w:val="22"/>
                <w:szCs w:val="22"/>
              </w:rPr>
              <w:t>”</w:t>
            </w:r>
            <w:r>
              <w:rPr>
                <w:rFonts w:hint="eastAsia" w:eastAsia="仿宋_GB2312" w:cs="仿宋_GB2312"/>
                <w:kern w:val="0"/>
                <w:sz w:val="22"/>
                <w:szCs w:val="22"/>
              </w:rPr>
              <w:t>需要填报除专项资金和基本支出以外的所有项目情况，包括业务工作项目、运行维护项目等；</w:t>
            </w:r>
            <w:r>
              <w:rPr>
                <w:rFonts w:eastAsia="仿宋_GB2312"/>
                <w:kern w:val="0"/>
                <w:sz w:val="22"/>
                <w:szCs w:val="22"/>
              </w:rPr>
              <w:t>“</w:t>
            </w:r>
            <w:r>
              <w:rPr>
                <w:rFonts w:hint="eastAsia" w:eastAsia="仿宋_GB2312" w:cs="仿宋_GB2312"/>
                <w:kern w:val="0"/>
                <w:sz w:val="22"/>
                <w:szCs w:val="22"/>
              </w:rPr>
              <w:t>公用经费</w:t>
            </w:r>
            <w:r>
              <w:rPr>
                <w:rFonts w:eastAsia="仿宋_GB2312"/>
                <w:kern w:val="0"/>
                <w:sz w:val="22"/>
                <w:szCs w:val="22"/>
              </w:rPr>
              <w:t>”</w:t>
            </w:r>
            <w:r>
              <w:rPr>
                <w:rFonts w:hint="eastAsia" w:eastAsia="仿宋_GB2312" w:cs="仿宋_GB2312"/>
                <w:kern w:val="0"/>
                <w:sz w:val="22"/>
                <w:szCs w:val="22"/>
              </w:rPr>
              <w:t>填报基本支出中的一般商品和服务支出。</w:t>
            </w:r>
          </w:p>
        </w:tc>
      </w:tr>
    </w:tbl>
    <w:p>
      <w:pPr>
        <w:widowControl/>
        <w:ind w:left="91"/>
        <w:jc w:val="both"/>
        <w:rPr>
          <w:rFonts w:eastAsia="方正小标宋简体"/>
          <w:kern w:val="0"/>
          <w:sz w:val="44"/>
          <w:szCs w:val="44"/>
        </w:rPr>
      </w:pPr>
      <w:bookmarkStart w:id="0" w:name="_GoBack"/>
      <w:bookmarkEnd w:id="0"/>
      <w:r>
        <w:rPr>
          <w:rFonts w:eastAsia="方正小标宋简体"/>
          <w:b/>
          <w:bCs/>
          <w:kern w:val="0"/>
          <w:sz w:val="30"/>
          <w:szCs w:val="30"/>
        </w:rPr>
        <w:t xml:space="preserve">  </w:t>
      </w:r>
      <w:r>
        <w:rPr>
          <w:rFonts w:hint="eastAsia" w:ascii="仿宋_GB2312" w:eastAsia="仿宋_GB2312" w:cs="仿宋_GB2312"/>
          <w:b/>
          <w:bCs/>
          <w:kern w:val="0"/>
          <w:sz w:val="30"/>
          <w:szCs w:val="30"/>
        </w:rPr>
        <w:t>长沙市公安局望城分局</w:t>
      </w:r>
      <w:r>
        <w:rPr>
          <w:rFonts w:hint="eastAsia" w:eastAsia="方正小标宋简体" w:cs="方正小标宋简体"/>
          <w:kern w:val="0"/>
          <w:sz w:val="44"/>
          <w:szCs w:val="44"/>
        </w:rPr>
        <w:t>部门整体支出绩效评价自评表</w:t>
      </w:r>
    </w:p>
    <w:tbl>
      <w:tblPr>
        <w:tblStyle w:val="5"/>
        <w:tblW w:w="10392" w:type="dxa"/>
        <w:jc w:val="center"/>
        <w:tblInd w:w="0" w:type="dxa"/>
        <w:tblLayout w:type="fixed"/>
        <w:tblCellMar>
          <w:top w:w="0" w:type="dxa"/>
          <w:left w:w="108" w:type="dxa"/>
          <w:bottom w:w="0" w:type="dxa"/>
          <w:right w:w="108" w:type="dxa"/>
        </w:tblCellMar>
      </w:tblPr>
      <w:tblGrid>
        <w:gridCol w:w="648"/>
        <w:gridCol w:w="416"/>
        <w:gridCol w:w="673"/>
        <w:gridCol w:w="416"/>
        <w:gridCol w:w="1072"/>
        <w:gridCol w:w="416"/>
        <w:gridCol w:w="2324"/>
        <w:gridCol w:w="2842"/>
        <w:gridCol w:w="720"/>
        <w:gridCol w:w="865"/>
      </w:tblGrid>
      <w:tr>
        <w:tblPrEx>
          <w:tblLayout w:type="fixed"/>
          <w:tblCellMar>
            <w:top w:w="0" w:type="dxa"/>
            <w:left w:w="108" w:type="dxa"/>
            <w:bottom w:w="0" w:type="dxa"/>
            <w:right w:w="108" w:type="dxa"/>
          </w:tblCellMar>
        </w:tblPrEx>
        <w:trPr>
          <w:trHeight w:val="483" w:hRule="atLeast"/>
          <w:tblHeader/>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cs="仿宋_GB2312"/>
                <w:kern w:val="0"/>
                <w:sz w:val="20"/>
                <w:szCs w:val="20"/>
              </w:rPr>
              <w:t>一级指标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分值</w:t>
            </w:r>
          </w:p>
        </w:tc>
        <w:tc>
          <w:tcPr>
            <w:tcW w:w="67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二级指标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分值</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三级</w:t>
            </w:r>
          </w:p>
          <w:p>
            <w:pPr>
              <w:widowControl/>
              <w:spacing w:line="280" w:lineRule="exact"/>
              <w:jc w:val="center"/>
              <w:rPr>
                <w:rFonts w:eastAsia="仿宋_GB2312"/>
                <w:kern w:val="0"/>
                <w:sz w:val="20"/>
                <w:szCs w:val="20"/>
              </w:rPr>
            </w:pPr>
            <w:r>
              <w:rPr>
                <w:rFonts w:hint="eastAsia" w:eastAsia="仿宋_GB2312" w:cs="仿宋_GB2312"/>
                <w:kern w:val="0"/>
                <w:sz w:val="20"/>
                <w:szCs w:val="20"/>
              </w:rPr>
              <w:t>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分值</w:t>
            </w:r>
          </w:p>
        </w:tc>
        <w:tc>
          <w:tcPr>
            <w:tcW w:w="232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评价标准</w:t>
            </w:r>
          </w:p>
        </w:tc>
        <w:tc>
          <w:tcPr>
            <w:tcW w:w="284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指标说明</w:t>
            </w:r>
          </w:p>
        </w:tc>
        <w:tc>
          <w:tcPr>
            <w:tcW w:w="7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得分</w:t>
            </w:r>
          </w:p>
        </w:tc>
        <w:tc>
          <w:tcPr>
            <w:tcW w:w="865" w:type="dxa"/>
            <w:tcBorders>
              <w:top w:val="single" w:color="auto" w:sz="4" w:space="0"/>
              <w:left w:val="nil"/>
              <w:bottom w:val="single" w:color="auto" w:sz="4" w:space="0"/>
              <w:right w:val="single" w:color="auto" w:sz="4" w:space="0"/>
            </w:tcBorders>
          </w:tcPr>
          <w:p>
            <w:pPr>
              <w:widowControl/>
              <w:spacing w:line="280" w:lineRule="exact"/>
              <w:jc w:val="center"/>
              <w:rPr>
                <w:rFonts w:eastAsia="仿宋_GB2312"/>
                <w:kern w:val="0"/>
                <w:sz w:val="20"/>
                <w:szCs w:val="20"/>
              </w:rPr>
            </w:pPr>
            <w:r>
              <w:rPr>
                <w:rFonts w:hint="eastAsia" w:eastAsia="仿宋_GB2312" w:cs="仿宋_GB2312"/>
                <w:kern w:val="0"/>
                <w:sz w:val="20"/>
                <w:szCs w:val="20"/>
              </w:rPr>
              <w:t>得分依据</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cs="仿宋_GB2312"/>
                <w:kern w:val="0"/>
                <w:sz w:val="20"/>
                <w:szCs w:val="20"/>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13</w:t>
            </w:r>
          </w:p>
        </w:tc>
        <w:tc>
          <w:tcPr>
            <w:tcW w:w="673" w:type="dxa"/>
            <w:vMerge w:val="restar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cs="仿宋_GB2312"/>
                <w:kern w:val="0"/>
                <w:sz w:val="20"/>
                <w:szCs w:val="20"/>
              </w:rPr>
              <w:t>预算配置</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13</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cs="仿宋_GB2312"/>
                <w:kern w:val="0"/>
                <w:sz w:val="20"/>
                <w:szCs w:val="20"/>
              </w:rPr>
              <w:t>在职人员控制率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842" w:type="dxa"/>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w:t>
            </w:r>
          </w:p>
          <w:p>
            <w:pPr>
              <w:widowControl/>
              <w:spacing w:line="300" w:lineRule="exact"/>
              <w:jc w:val="left"/>
              <w:rPr>
                <w:rFonts w:eastAsia="仿宋_GB2312"/>
                <w:kern w:val="0"/>
                <w:sz w:val="20"/>
                <w:szCs w:val="20"/>
              </w:rPr>
            </w:pPr>
            <w:r>
              <w:rPr>
                <w:rFonts w:hint="eastAsia" w:eastAsia="仿宋_GB2312" w:cs="仿宋_GB2312"/>
                <w:kern w:val="0"/>
                <w:sz w:val="20"/>
                <w:szCs w:val="20"/>
              </w:rPr>
              <w:t>编制数：机构编制部门核定批复的部门（单位）的人员编制数。</w:t>
            </w:r>
          </w:p>
        </w:tc>
        <w:tc>
          <w:tcPr>
            <w:tcW w:w="720"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5</w:t>
            </w:r>
          </w:p>
        </w:tc>
        <w:tc>
          <w:tcPr>
            <w:tcW w:w="865" w:type="dxa"/>
            <w:tcBorders>
              <w:top w:val="nil"/>
              <w:left w:val="nil"/>
              <w:bottom w:val="single" w:color="auto" w:sz="4" w:space="0"/>
              <w:right w:val="single" w:color="auto" w:sz="4" w:space="0"/>
            </w:tcBorders>
          </w:tcPr>
          <w:p>
            <w:pPr>
              <w:widowControl/>
              <w:spacing w:line="280" w:lineRule="exact"/>
              <w:jc w:val="left"/>
              <w:rPr>
                <w:rFonts w:eastAsia="仿宋_GB2312"/>
                <w:kern w:val="0"/>
                <w:sz w:val="24"/>
                <w:szCs w:val="24"/>
              </w:rPr>
            </w:pPr>
            <w:r>
              <w:rPr>
                <w:rFonts w:hint="eastAsia" w:eastAsia="仿宋_GB2312" w:cs="仿宋_GB2312"/>
                <w:kern w:val="0"/>
                <w:sz w:val="24"/>
                <w:szCs w:val="24"/>
              </w:rPr>
              <w:t>　控制率</w:t>
            </w:r>
            <w:r>
              <w:rPr>
                <w:rFonts w:eastAsia="仿宋_GB2312"/>
                <w:kern w:val="0"/>
                <w:sz w:val="24"/>
                <w:szCs w:val="24"/>
              </w:rPr>
              <w:t>100%</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cs="仿宋_GB2312"/>
                <w:kern w:val="0"/>
                <w:sz w:val="20"/>
                <w:szCs w:val="20"/>
              </w:rPr>
              <w:t>三公经费</w:t>
            </w:r>
          </w:p>
          <w:p>
            <w:pPr>
              <w:widowControl/>
              <w:spacing w:line="320" w:lineRule="exact"/>
              <w:jc w:val="center"/>
              <w:rPr>
                <w:rFonts w:eastAsia="仿宋_GB2312"/>
                <w:kern w:val="0"/>
                <w:sz w:val="20"/>
                <w:szCs w:val="20"/>
              </w:rPr>
            </w:pPr>
            <w:r>
              <w:rPr>
                <w:rFonts w:hint="eastAsia" w:eastAsia="仿宋_GB2312" w:cs="仿宋_GB2312"/>
                <w:kern w:val="0"/>
                <w:sz w:val="20"/>
                <w:szCs w:val="20"/>
              </w:rPr>
              <w:t>变动率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84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720"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8</w:t>
            </w:r>
          </w:p>
        </w:tc>
        <w:tc>
          <w:tcPr>
            <w:tcW w:w="865" w:type="dxa"/>
            <w:tcBorders>
              <w:top w:val="nil"/>
              <w:left w:val="nil"/>
              <w:bottom w:val="single" w:color="auto" w:sz="4" w:space="0"/>
              <w:right w:val="single" w:color="auto" w:sz="4" w:space="0"/>
            </w:tcBorders>
          </w:tcPr>
          <w:p>
            <w:pPr>
              <w:widowControl/>
              <w:spacing w:line="280" w:lineRule="exact"/>
              <w:jc w:val="left"/>
              <w:rPr>
                <w:rFonts w:eastAsia="仿宋_GB2312"/>
                <w:kern w:val="0"/>
                <w:sz w:val="24"/>
                <w:szCs w:val="24"/>
              </w:rPr>
            </w:pPr>
            <w:r>
              <w:rPr>
                <w:rFonts w:hint="eastAsia" w:eastAsia="仿宋_GB2312" w:cs="仿宋_GB2312"/>
                <w:kern w:val="0"/>
                <w:sz w:val="24"/>
                <w:szCs w:val="24"/>
              </w:rPr>
              <w:t>控制率</w:t>
            </w:r>
            <w:r>
              <w:rPr>
                <w:rFonts w:eastAsia="仿宋_GB2312"/>
                <w:kern w:val="0"/>
                <w:sz w:val="24"/>
                <w:szCs w:val="24"/>
              </w:rPr>
              <w:t>-10%</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cs="仿宋_GB2312"/>
                <w:kern w:val="0"/>
                <w:sz w:val="20"/>
                <w:szCs w:val="20"/>
              </w:rPr>
              <w:t>过程</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61</w:t>
            </w: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cs="仿宋_GB2312"/>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20</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cs="仿宋_GB2312"/>
                <w:kern w:val="0"/>
                <w:sz w:val="20"/>
                <w:szCs w:val="20"/>
              </w:rPr>
              <w:t>预算</w:t>
            </w:r>
          </w:p>
          <w:p>
            <w:pPr>
              <w:widowControl/>
              <w:spacing w:line="320" w:lineRule="exact"/>
              <w:jc w:val="center"/>
              <w:rPr>
                <w:rFonts w:eastAsia="仿宋_GB2312"/>
                <w:kern w:val="0"/>
                <w:sz w:val="20"/>
                <w:szCs w:val="20"/>
              </w:rPr>
            </w:pPr>
            <w:r>
              <w:rPr>
                <w:rFonts w:hint="eastAsia" w:eastAsia="仿宋_GB2312" w:cs="仿宋_GB2312"/>
                <w:kern w:val="0"/>
                <w:sz w:val="20"/>
                <w:szCs w:val="20"/>
              </w:rPr>
              <w:t>完成率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84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720"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5</w:t>
            </w:r>
          </w:p>
        </w:tc>
        <w:tc>
          <w:tcPr>
            <w:tcW w:w="865" w:type="dxa"/>
            <w:tcBorders>
              <w:top w:val="nil"/>
              <w:left w:val="nil"/>
              <w:bottom w:val="single" w:color="auto" w:sz="4" w:space="0"/>
              <w:right w:val="single" w:color="auto" w:sz="4" w:space="0"/>
            </w:tcBorders>
          </w:tcPr>
          <w:p>
            <w:pPr>
              <w:widowControl/>
              <w:spacing w:line="280" w:lineRule="exact"/>
              <w:jc w:val="left"/>
              <w:rPr>
                <w:rFonts w:eastAsia="仿宋_GB2312"/>
                <w:kern w:val="0"/>
                <w:sz w:val="24"/>
                <w:szCs w:val="24"/>
              </w:rPr>
            </w:pPr>
            <w:r>
              <w:rPr>
                <w:rFonts w:hint="eastAsia" w:eastAsia="仿宋_GB2312" w:cs="仿宋_GB2312"/>
                <w:kern w:val="0"/>
                <w:sz w:val="24"/>
                <w:szCs w:val="24"/>
              </w:rPr>
              <w:t>完成率</w:t>
            </w:r>
            <w:r>
              <w:rPr>
                <w:rFonts w:eastAsia="仿宋_GB2312"/>
                <w:kern w:val="0"/>
                <w:sz w:val="24"/>
                <w:szCs w:val="24"/>
              </w:rPr>
              <w:t>100%</w:t>
            </w:r>
          </w:p>
        </w:tc>
      </w:tr>
      <w:tr>
        <w:tblPrEx>
          <w:tblLayout w:type="fixed"/>
          <w:tblCellMar>
            <w:top w:w="0" w:type="dxa"/>
            <w:left w:w="108" w:type="dxa"/>
            <w:bottom w:w="0" w:type="dxa"/>
            <w:right w:w="108" w:type="dxa"/>
          </w:tblCellMar>
        </w:tblPrEx>
        <w:trPr>
          <w:trHeight w:val="973"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cs="仿宋_GB2312"/>
                <w:kern w:val="0"/>
                <w:sz w:val="20"/>
                <w:szCs w:val="20"/>
              </w:rPr>
              <w:t>预算</w:t>
            </w:r>
          </w:p>
          <w:p>
            <w:pPr>
              <w:widowControl/>
              <w:spacing w:line="320" w:lineRule="exact"/>
              <w:jc w:val="center"/>
              <w:rPr>
                <w:rFonts w:eastAsia="仿宋_GB2312"/>
                <w:kern w:val="0"/>
                <w:sz w:val="20"/>
                <w:szCs w:val="20"/>
              </w:rPr>
            </w:pPr>
            <w:r>
              <w:rPr>
                <w:rFonts w:hint="eastAsia" w:eastAsia="仿宋_GB2312" w:cs="仿宋_GB2312"/>
                <w:kern w:val="0"/>
                <w:sz w:val="20"/>
                <w:szCs w:val="20"/>
              </w:rPr>
              <w:t>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84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720"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2</w:t>
            </w:r>
          </w:p>
        </w:tc>
        <w:tc>
          <w:tcPr>
            <w:tcW w:w="865" w:type="dxa"/>
            <w:tcBorders>
              <w:top w:val="nil"/>
              <w:left w:val="nil"/>
              <w:bottom w:val="single" w:color="auto" w:sz="4" w:space="0"/>
              <w:right w:val="single" w:color="auto" w:sz="4" w:space="0"/>
            </w:tcBorders>
          </w:tcPr>
          <w:p>
            <w:pPr>
              <w:widowControl/>
              <w:spacing w:line="280" w:lineRule="exact"/>
              <w:jc w:val="left"/>
              <w:rPr>
                <w:rFonts w:eastAsia="仿宋_GB2312"/>
                <w:kern w:val="0"/>
                <w:sz w:val="24"/>
                <w:szCs w:val="24"/>
              </w:rPr>
            </w:pPr>
            <w:r>
              <w:rPr>
                <w:rFonts w:hint="eastAsia" w:eastAsia="仿宋_GB2312" w:cs="仿宋_GB2312"/>
                <w:kern w:val="0"/>
                <w:sz w:val="24"/>
                <w:szCs w:val="24"/>
              </w:rPr>
              <w:t>控制率</w:t>
            </w:r>
            <w:r>
              <w:rPr>
                <w:rFonts w:eastAsia="仿宋_GB2312"/>
                <w:kern w:val="0"/>
                <w:sz w:val="24"/>
                <w:szCs w:val="24"/>
              </w:rPr>
              <w:t>21%</w:t>
            </w:r>
          </w:p>
        </w:tc>
      </w:tr>
      <w:tr>
        <w:tblPrEx>
          <w:tblLayout w:type="fixed"/>
        </w:tblPrEx>
        <w:trPr>
          <w:trHeight w:val="116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cs="仿宋_GB2312"/>
                <w:kern w:val="0"/>
                <w:sz w:val="20"/>
                <w:szCs w:val="20"/>
              </w:rPr>
              <w:t>新建楼堂馆所面积控制率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分，扣完为止。没有楼梯馆所项目的部门按满分计算</w:t>
            </w:r>
          </w:p>
        </w:tc>
        <w:tc>
          <w:tcPr>
            <w:tcW w:w="284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楼堂馆所面积控制率</w:t>
            </w:r>
            <w:r>
              <w:rPr>
                <w:rFonts w:eastAsia="仿宋_GB2312"/>
                <w:kern w:val="0"/>
                <w:sz w:val="20"/>
                <w:szCs w:val="20"/>
              </w:rPr>
              <w:t>=</w:t>
            </w:r>
            <w:r>
              <w:rPr>
                <w:rFonts w:hint="eastAsia" w:eastAsia="仿宋_GB2312" w:cs="仿宋_GB2312"/>
                <w:kern w:val="0"/>
                <w:sz w:val="20"/>
                <w:szCs w:val="20"/>
              </w:rPr>
              <w:t>实际建设面积</w:t>
            </w:r>
            <w:r>
              <w:rPr>
                <w:rFonts w:eastAsia="仿宋_GB2312"/>
                <w:kern w:val="0"/>
                <w:sz w:val="20"/>
                <w:szCs w:val="20"/>
              </w:rPr>
              <w:t>/</w:t>
            </w:r>
            <w:r>
              <w:rPr>
                <w:rFonts w:hint="eastAsia" w:eastAsia="仿宋_GB2312" w:cs="仿宋_GB2312"/>
                <w:kern w:val="0"/>
                <w:sz w:val="20"/>
                <w:szCs w:val="20"/>
              </w:rPr>
              <w:t>批准建设面积</w:t>
            </w:r>
            <w:r>
              <w:rPr>
                <w:rFonts w:eastAsia="仿宋_GB2312"/>
                <w:kern w:val="0"/>
                <w:sz w:val="20"/>
                <w:szCs w:val="20"/>
              </w:rPr>
              <w:t xml:space="preserve">×100% </w:t>
            </w:r>
            <w:r>
              <w:rPr>
                <w:rFonts w:hint="eastAsia" w:eastAsia="仿宋_GB2312" w:cs="仿宋_GB2312"/>
                <w:kern w:val="0"/>
                <w:sz w:val="20"/>
                <w:szCs w:val="20"/>
              </w:rPr>
              <w:t>。</w:t>
            </w:r>
          </w:p>
          <w:p>
            <w:pPr>
              <w:widowControl/>
              <w:spacing w:line="300" w:lineRule="exact"/>
              <w:jc w:val="left"/>
              <w:rPr>
                <w:rFonts w:eastAsia="仿宋_GB2312"/>
                <w:kern w:val="0"/>
                <w:sz w:val="20"/>
                <w:szCs w:val="20"/>
              </w:rPr>
            </w:pPr>
            <w:r>
              <w:rPr>
                <w:rFonts w:hint="eastAsia" w:eastAsia="仿宋_GB2312" w:cs="仿宋_GB2312"/>
                <w:kern w:val="0"/>
                <w:sz w:val="20"/>
                <w:szCs w:val="20"/>
              </w:rPr>
              <w:t>该指标以</w:t>
            </w:r>
            <w:r>
              <w:rPr>
                <w:rFonts w:eastAsia="仿宋_GB2312"/>
                <w:kern w:val="0"/>
                <w:sz w:val="20"/>
                <w:szCs w:val="20"/>
              </w:rPr>
              <w:t>2014</w:t>
            </w:r>
            <w:r>
              <w:rPr>
                <w:rFonts w:hint="eastAsia" w:eastAsia="仿宋_GB2312" w:cs="仿宋_GB2312"/>
                <w:kern w:val="0"/>
                <w:sz w:val="20"/>
                <w:szCs w:val="20"/>
              </w:rPr>
              <w:t>年完工的新建楼堂馆所为评价内容。</w:t>
            </w:r>
          </w:p>
        </w:tc>
        <w:tc>
          <w:tcPr>
            <w:tcW w:w="720"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5</w:t>
            </w:r>
          </w:p>
        </w:tc>
        <w:tc>
          <w:tcPr>
            <w:tcW w:w="865" w:type="dxa"/>
            <w:tcBorders>
              <w:top w:val="nil"/>
              <w:left w:val="nil"/>
              <w:bottom w:val="single" w:color="auto" w:sz="4" w:space="0"/>
              <w:right w:val="single" w:color="auto" w:sz="4" w:space="0"/>
            </w:tcBorders>
          </w:tcPr>
          <w:p>
            <w:pPr>
              <w:widowControl/>
              <w:spacing w:line="280" w:lineRule="exact"/>
              <w:jc w:val="left"/>
              <w:rPr>
                <w:rFonts w:eastAsia="仿宋_GB2312"/>
                <w:kern w:val="0"/>
                <w:sz w:val="24"/>
                <w:szCs w:val="24"/>
              </w:rPr>
            </w:pPr>
            <w:r>
              <w:rPr>
                <w:rFonts w:hint="eastAsia" w:eastAsia="仿宋_GB2312" w:cs="仿宋_GB2312"/>
                <w:kern w:val="0"/>
                <w:sz w:val="24"/>
                <w:szCs w:val="24"/>
              </w:rPr>
              <w:t>无此项目</w:t>
            </w:r>
          </w:p>
        </w:tc>
      </w:tr>
      <w:tr>
        <w:tblPrEx>
          <w:tblLayout w:type="fixed"/>
          <w:tblCellMar>
            <w:top w:w="0" w:type="dxa"/>
            <w:left w:w="108" w:type="dxa"/>
            <w:bottom w:w="0" w:type="dxa"/>
            <w:right w:w="108" w:type="dxa"/>
          </w:tblCellMar>
        </w:tblPrEx>
        <w:trPr>
          <w:trHeight w:val="1115"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cs="仿宋_GB2312"/>
                <w:kern w:val="0"/>
                <w:sz w:val="20"/>
                <w:szCs w:val="20"/>
              </w:rPr>
              <w:t>新建楼堂馆所投资概算控制率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84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楼堂馆所投资预算控制率</w:t>
            </w:r>
            <w:r>
              <w:rPr>
                <w:rFonts w:eastAsia="仿宋_GB2312"/>
                <w:kern w:val="0"/>
                <w:sz w:val="20"/>
                <w:szCs w:val="20"/>
              </w:rPr>
              <w:t>=</w:t>
            </w:r>
            <w:r>
              <w:rPr>
                <w:rFonts w:hint="eastAsia" w:eastAsia="仿宋_GB2312" w:cs="仿宋_GB2312"/>
                <w:kern w:val="0"/>
                <w:sz w:val="20"/>
                <w:szCs w:val="20"/>
              </w:rPr>
              <w:t>实际投资金额</w:t>
            </w:r>
            <w:r>
              <w:rPr>
                <w:rFonts w:eastAsia="仿宋_GB2312"/>
                <w:kern w:val="0"/>
                <w:sz w:val="20"/>
                <w:szCs w:val="20"/>
              </w:rPr>
              <w:t>/</w:t>
            </w:r>
            <w:r>
              <w:rPr>
                <w:rFonts w:hint="eastAsia" w:eastAsia="仿宋_GB2312" w:cs="仿宋_GB2312"/>
                <w:kern w:val="0"/>
                <w:sz w:val="20"/>
                <w:szCs w:val="20"/>
              </w:rPr>
              <w:t>批准投资金额</w:t>
            </w:r>
            <w:r>
              <w:rPr>
                <w:rFonts w:eastAsia="仿宋_GB2312"/>
                <w:kern w:val="0"/>
                <w:sz w:val="20"/>
                <w:szCs w:val="20"/>
              </w:rPr>
              <w:t xml:space="preserve">×100% </w:t>
            </w:r>
            <w:r>
              <w:rPr>
                <w:rFonts w:hint="eastAsia" w:eastAsia="仿宋_GB2312" w:cs="仿宋_GB2312"/>
                <w:kern w:val="0"/>
                <w:sz w:val="20"/>
                <w:szCs w:val="20"/>
              </w:rPr>
              <w:t>。</w:t>
            </w:r>
          </w:p>
          <w:p>
            <w:pPr>
              <w:widowControl/>
              <w:spacing w:line="300" w:lineRule="exact"/>
              <w:jc w:val="left"/>
              <w:rPr>
                <w:rFonts w:eastAsia="仿宋_GB2312"/>
                <w:kern w:val="0"/>
                <w:sz w:val="20"/>
                <w:szCs w:val="20"/>
              </w:rPr>
            </w:pPr>
            <w:r>
              <w:rPr>
                <w:rFonts w:hint="eastAsia" w:eastAsia="仿宋_GB2312" w:cs="仿宋_GB2312"/>
                <w:kern w:val="0"/>
                <w:sz w:val="20"/>
                <w:szCs w:val="20"/>
              </w:rPr>
              <w:t>该指标以</w:t>
            </w:r>
            <w:r>
              <w:rPr>
                <w:rFonts w:eastAsia="仿宋_GB2312"/>
                <w:kern w:val="0"/>
                <w:sz w:val="20"/>
                <w:szCs w:val="20"/>
              </w:rPr>
              <w:t>2014</w:t>
            </w:r>
            <w:r>
              <w:rPr>
                <w:rFonts w:hint="eastAsia" w:eastAsia="仿宋_GB2312" w:cs="仿宋_GB2312"/>
                <w:kern w:val="0"/>
                <w:sz w:val="20"/>
                <w:szCs w:val="20"/>
              </w:rPr>
              <w:t>年完工的新建楼堂馆所为评价内容。</w:t>
            </w:r>
          </w:p>
        </w:tc>
        <w:tc>
          <w:tcPr>
            <w:tcW w:w="720"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5</w:t>
            </w:r>
          </w:p>
        </w:tc>
        <w:tc>
          <w:tcPr>
            <w:tcW w:w="865" w:type="dxa"/>
            <w:tcBorders>
              <w:top w:val="nil"/>
              <w:left w:val="nil"/>
              <w:bottom w:val="single" w:color="auto" w:sz="4" w:space="0"/>
              <w:right w:val="single" w:color="auto" w:sz="4" w:space="0"/>
            </w:tcBorders>
          </w:tcPr>
          <w:p>
            <w:pPr>
              <w:widowControl/>
              <w:spacing w:line="280" w:lineRule="exact"/>
              <w:jc w:val="left"/>
              <w:rPr>
                <w:rFonts w:eastAsia="仿宋_GB2312"/>
                <w:kern w:val="0"/>
                <w:sz w:val="24"/>
                <w:szCs w:val="24"/>
              </w:rPr>
            </w:pPr>
            <w:r>
              <w:rPr>
                <w:rFonts w:hint="eastAsia" w:eastAsia="仿宋_GB2312" w:cs="仿宋_GB2312"/>
                <w:kern w:val="0"/>
                <w:sz w:val="24"/>
                <w:szCs w:val="24"/>
              </w:rPr>
              <w:t>无此项目</w:t>
            </w:r>
          </w:p>
        </w:tc>
      </w:tr>
      <w:tr>
        <w:tblPrEx>
          <w:tblLayout w:type="fixed"/>
        </w:tblPrEx>
        <w:trPr>
          <w:trHeight w:val="1448"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cs="仿宋_GB2312"/>
                <w:kern w:val="0"/>
                <w:sz w:val="20"/>
                <w:szCs w:val="20"/>
              </w:rPr>
              <w:t>预算管理</w:t>
            </w:r>
          </w:p>
        </w:tc>
        <w:tc>
          <w:tcPr>
            <w:tcW w:w="416" w:type="dxa"/>
            <w:vMerge w:val="restart"/>
            <w:tcBorders>
              <w:top w:val="nil"/>
              <w:left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41</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cs="仿宋_GB2312"/>
                <w:kern w:val="0"/>
                <w:sz w:val="20"/>
                <w:szCs w:val="20"/>
              </w:rPr>
              <w:t>公用经费控制率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84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p>
          <w:p>
            <w:pPr>
              <w:widowControl/>
              <w:spacing w:line="300" w:lineRule="exact"/>
              <w:jc w:val="left"/>
              <w:rPr>
                <w:rFonts w:eastAsia="仿宋_GB2312"/>
                <w:kern w:val="0"/>
                <w:sz w:val="20"/>
                <w:szCs w:val="20"/>
              </w:rPr>
            </w:pPr>
            <w:r>
              <w:rPr>
                <w:rFonts w:hint="eastAsia" w:eastAsia="仿宋_GB2312" w:cs="仿宋_GB2312"/>
                <w:kern w:val="0"/>
                <w:sz w:val="20"/>
                <w:szCs w:val="20"/>
              </w:rPr>
              <w:t>公用经费支出是指部门基本支出中的一般商品和服务支出。</w:t>
            </w:r>
          </w:p>
        </w:tc>
        <w:tc>
          <w:tcPr>
            <w:tcW w:w="720"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8</w:t>
            </w:r>
          </w:p>
        </w:tc>
        <w:tc>
          <w:tcPr>
            <w:tcW w:w="865" w:type="dxa"/>
            <w:tcBorders>
              <w:top w:val="nil"/>
              <w:left w:val="nil"/>
              <w:bottom w:val="single" w:color="auto" w:sz="4" w:space="0"/>
              <w:right w:val="single" w:color="auto" w:sz="4" w:space="0"/>
            </w:tcBorders>
          </w:tcPr>
          <w:p>
            <w:pPr>
              <w:widowControl/>
              <w:spacing w:line="280" w:lineRule="exact"/>
              <w:jc w:val="left"/>
              <w:rPr>
                <w:rFonts w:eastAsia="仿宋_GB2312"/>
                <w:kern w:val="0"/>
                <w:sz w:val="24"/>
                <w:szCs w:val="24"/>
              </w:rPr>
            </w:pPr>
            <w:r>
              <w:rPr>
                <w:rFonts w:hint="eastAsia" w:eastAsia="仿宋_GB2312" w:cs="仿宋_GB2312"/>
                <w:kern w:val="0"/>
                <w:sz w:val="24"/>
                <w:szCs w:val="24"/>
              </w:rPr>
              <w:t>控制率</w:t>
            </w:r>
            <w:r>
              <w:rPr>
                <w:rFonts w:eastAsia="仿宋_GB2312"/>
                <w:kern w:val="0"/>
                <w:sz w:val="24"/>
                <w:szCs w:val="24"/>
              </w:rPr>
              <w:t>84%</w:t>
            </w:r>
          </w:p>
        </w:tc>
      </w:tr>
      <w:tr>
        <w:tblPrEx>
          <w:tblLayout w:type="fixed"/>
        </w:tblPrEx>
        <w:trPr>
          <w:trHeight w:val="74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left w:val="single" w:color="auto" w:sz="4" w:space="0"/>
              <w:right w:val="single" w:color="auto" w:sz="4" w:space="0"/>
            </w:tcBorders>
            <w:vAlign w:val="center"/>
          </w:tcPr>
          <w:p>
            <w:pPr>
              <w:widowControl/>
              <w:spacing w:line="32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cs="仿宋_GB2312"/>
                <w:kern w:val="0"/>
                <w:sz w:val="20"/>
                <w:szCs w:val="20"/>
              </w:rPr>
              <w:t>三公经费控制率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84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720"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8</w:t>
            </w:r>
          </w:p>
        </w:tc>
        <w:tc>
          <w:tcPr>
            <w:tcW w:w="865" w:type="dxa"/>
            <w:tcBorders>
              <w:top w:val="nil"/>
              <w:left w:val="nil"/>
              <w:bottom w:val="single" w:color="auto" w:sz="4" w:space="0"/>
              <w:right w:val="single" w:color="auto" w:sz="4" w:space="0"/>
            </w:tcBorders>
          </w:tcPr>
          <w:p>
            <w:pPr>
              <w:widowControl/>
              <w:spacing w:line="280" w:lineRule="exact"/>
              <w:jc w:val="left"/>
              <w:rPr>
                <w:rFonts w:eastAsia="仿宋_GB2312"/>
                <w:kern w:val="0"/>
                <w:sz w:val="24"/>
                <w:szCs w:val="24"/>
              </w:rPr>
            </w:pPr>
            <w:r>
              <w:rPr>
                <w:rFonts w:hint="eastAsia" w:eastAsia="仿宋_GB2312" w:cs="仿宋_GB2312"/>
                <w:kern w:val="0"/>
                <w:sz w:val="24"/>
                <w:szCs w:val="24"/>
              </w:rPr>
              <w:t>控制率</w:t>
            </w:r>
            <w:r>
              <w:rPr>
                <w:rFonts w:eastAsia="仿宋_GB2312"/>
                <w:kern w:val="0"/>
                <w:sz w:val="24"/>
                <w:szCs w:val="24"/>
              </w:rPr>
              <w:t>75%</w:t>
            </w:r>
          </w:p>
        </w:tc>
      </w:tr>
      <w:tr>
        <w:tblPrEx>
          <w:tblLayout w:type="fixed"/>
          <w:tblCellMar>
            <w:top w:w="0" w:type="dxa"/>
            <w:left w:w="108" w:type="dxa"/>
            <w:bottom w:w="0" w:type="dxa"/>
            <w:right w:w="108" w:type="dxa"/>
          </w:tblCellMar>
        </w:tblPrEx>
        <w:trPr>
          <w:trHeight w:val="1020" w:hRule="atLeast"/>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0"/>
                <w:szCs w:val="20"/>
              </w:rPr>
            </w:pPr>
          </w:p>
        </w:tc>
        <w:tc>
          <w:tcPr>
            <w:tcW w:w="67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0"/>
                <w:szCs w:val="20"/>
              </w:rPr>
            </w:pPr>
          </w:p>
        </w:tc>
        <w:tc>
          <w:tcPr>
            <w:tcW w:w="416"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hint="eastAsia" w:eastAsia="仿宋_GB2312" w:cs="仿宋_GB2312"/>
                <w:kern w:val="0"/>
                <w:sz w:val="20"/>
                <w:szCs w:val="20"/>
              </w:rPr>
              <w:t>政府采购执行率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84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 xml:space="preserve">×100%                </w:t>
            </w:r>
          </w:p>
        </w:tc>
        <w:tc>
          <w:tcPr>
            <w:tcW w:w="720"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eastAsia="仿宋_GB2312"/>
                <w:kern w:val="0"/>
                <w:sz w:val="24"/>
                <w:szCs w:val="24"/>
              </w:rPr>
              <w:t>0</w:t>
            </w:r>
            <w:r>
              <w:rPr>
                <w:rFonts w:hint="eastAsia" w:eastAsia="仿宋_GB2312" w:cs="仿宋_GB2312"/>
                <w:kern w:val="0"/>
                <w:sz w:val="24"/>
                <w:szCs w:val="24"/>
              </w:rPr>
              <w:t>　</w:t>
            </w:r>
          </w:p>
        </w:tc>
        <w:tc>
          <w:tcPr>
            <w:tcW w:w="865" w:type="dxa"/>
            <w:tcBorders>
              <w:top w:val="nil"/>
              <w:left w:val="nil"/>
              <w:bottom w:val="single" w:color="auto" w:sz="4" w:space="0"/>
              <w:right w:val="single" w:color="auto" w:sz="4" w:space="0"/>
            </w:tcBorders>
          </w:tcPr>
          <w:p>
            <w:pPr>
              <w:widowControl/>
              <w:spacing w:line="280" w:lineRule="exact"/>
              <w:jc w:val="left"/>
              <w:rPr>
                <w:rFonts w:eastAsia="仿宋_GB2312"/>
                <w:kern w:val="0"/>
                <w:sz w:val="24"/>
                <w:szCs w:val="24"/>
              </w:rPr>
            </w:pPr>
            <w:r>
              <w:rPr>
                <w:rFonts w:hint="eastAsia" w:eastAsia="仿宋_GB2312" w:cs="仿宋_GB2312"/>
                <w:kern w:val="0"/>
                <w:sz w:val="24"/>
                <w:szCs w:val="24"/>
              </w:rPr>
              <w:t>控制率</w:t>
            </w:r>
            <w:r>
              <w:rPr>
                <w:rFonts w:eastAsia="仿宋_GB2312"/>
                <w:kern w:val="0"/>
                <w:sz w:val="24"/>
                <w:szCs w:val="24"/>
              </w:rPr>
              <w:t>75%</w:t>
            </w:r>
          </w:p>
        </w:tc>
      </w:tr>
      <w:tr>
        <w:tblPrEx>
          <w:tblLayout w:type="fixed"/>
          <w:tblCellMar>
            <w:top w:w="0" w:type="dxa"/>
            <w:left w:w="108" w:type="dxa"/>
            <w:bottom w:w="0" w:type="dxa"/>
            <w:right w:w="108" w:type="dxa"/>
          </w:tblCellMar>
        </w:tblPrEx>
        <w:trPr>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过程</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kern w:val="0"/>
                <w:sz w:val="20"/>
                <w:szCs w:val="20"/>
              </w:rPr>
            </w:pPr>
            <w:r>
              <w:rPr>
                <w:rFonts w:eastAsia="仿宋_GB2312"/>
                <w:kern w:val="0"/>
                <w:sz w:val="20"/>
                <w:szCs w:val="20"/>
              </w:rPr>
              <w:t>61</w:t>
            </w:r>
          </w:p>
        </w:tc>
        <w:tc>
          <w:tcPr>
            <w:tcW w:w="673"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cs="仿宋_GB2312"/>
                <w:kern w:val="0"/>
                <w:sz w:val="20"/>
                <w:szCs w:val="20"/>
              </w:rPr>
              <w:t>预算管理</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eastAsia="仿宋_GB2312"/>
                <w:kern w:val="0"/>
                <w:sz w:val="20"/>
                <w:szCs w:val="20"/>
              </w:rPr>
              <w:t>41</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管理制度健全性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 w:val="20"/>
                <w:szCs w:val="20"/>
              </w:rPr>
            </w:pPr>
            <w:r>
              <w:rPr>
                <w:rFonts w:hint="eastAsia" w:cs="宋体"/>
                <w:kern w:val="0"/>
                <w:sz w:val="20"/>
                <w:szCs w:val="20"/>
              </w:rPr>
              <w:t>①</w:t>
            </w:r>
            <w:r>
              <w:rPr>
                <w:rFonts w:hint="eastAsia" w:eastAsia="仿宋_GB2312" w:cs="仿宋_GB2312"/>
                <w:kern w:val="0"/>
                <w:sz w:val="20"/>
                <w:szCs w:val="20"/>
              </w:rPr>
              <w:t>有内部财务管理制度、会计核算制度等管理制度，</w:t>
            </w:r>
            <w:r>
              <w:rPr>
                <w:rFonts w:eastAsia="仿宋_GB2312"/>
                <w:kern w:val="0"/>
                <w:sz w:val="20"/>
                <w:szCs w:val="20"/>
              </w:rPr>
              <w:t>2</w:t>
            </w:r>
            <w:r>
              <w:rPr>
                <w:rFonts w:hint="eastAsia" w:eastAsia="仿宋_GB2312" w:cs="仿宋_GB2312"/>
                <w:kern w:val="0"/>
                <w:sz w:val="20"/>
                <w:szCs w:val="20"/>
              </w:rPr>
              <w:t>分；</w:t>
            </w:r>
          </w:p>
          <w:p>
            <w:pPr>
              <w:widowControl/>
              <w:spacing w:line="240" w:lineRule="exact"/>
              <w:jc w:val="left"/>
              <w:rPr>
                <w:rFonts w:eastAsia="仿宋_GB2312"/>
                <w:kern w:val="0"/>
                <w:sz w:val="20"/>
                <w:szCs w:val="20"/>
              </w:rPr>
            </w:pPr>
            <w:r>
              <w:rPr>
                <w:rFonts w:hint="eastAsia" w:cs="宋体"/>
                <w:kern w:val="0"/>
                <w:sz w:val="20"/>
                <w:szCs w:val="20"/>
              </w:rPr>
              <w:t>②</w:t>
            </w:r>
            <w:r>
              <w:rPr>
                <w:rFonts w:hint="eastAsia" w:eastAsia="仿宋_GB2312" w:cs="仿宋_GB2312"/>
                <w:kern w:val="0"/>
                <w:sz w:val="20"/>
                <w:szCs w:val="20"/>
              </w:rPr>
              <w:t>有本部门厉行节约制度，</w:t>
            </w:r>
            <w:r>
              <w:rPr>
                <w:rFonts w:eastAsia="仿宋_GB2312"/>
                <w:kern w:val="0"/>
                <w:sz w:val="20"/>
                <w:szCs w:val="20"/>
              </w:rPr>
              <w:t>2</w:t>
            </w:r>
            <w:r>
              <w:rPr>
                <w:rFonts w:hint="eastAsia" w:eastAsia="仿宋_GB2312" w:cs="仿宋_GB2312"/>
                <w:kern w:val="0"/>
                <w:sz w:val="20"/>
                <w:szCs w:val="20"/>
              </w:rPr>
              <w:t>分；</w:t>
            </w:r>
          </w:p>
          <w:p>
            <w:pPr>
              <w:widowControl/>
              <w:spacing w:line="240" w:lineRule="exact"/>
              <w:jc w:val="left"/>
              <w:rPr>
                <w:rFonts w:eastAsia="仿宋_GB2312"/>
                <w:kern w:val="0"/>
                <w:sz w:val="20"/>
                <w:szCs w:val="20"/>
              </w:rPr>
            </w:pPr>
            <w:r>
              <w:rPr>
                <w:rFonts w:hint="eastAsia" w:cs="宋体"/>
                <w:kern w:val="0"/>
                <w:sz w:val="20"/>
                <w:szCs w:val="20"/>
              </w:rPr>
              <w:t>③</w:t>
            </w:r>
            <w:r>
              <w:rPr>
                <w:rFonts w:hint="eastAsia" w:eastAsia="仿宋_GB2312" w:cs="仿宋_GB2312"/>
                <w:kern w:val="0"/>
                <w:sz w:val="20"/>
                <w:szCs w:val="20"/>
              </w:rPr>
              <w:t>相关管理制度合法、合规、完整，</w:t>
            </w:r>
            <w:r>
              <w:rPr>
                <w:rFonts w:eastAsia="仿宋_GB2312"/>
                <w:kern w:val="0"/>
                <w:sz w:val="20"/>
                <w:szCs w:val="20"/>
              </w:rPr>
              <w:t>2</w:t>
            </w:r>
            <w:r>
              <w:rPr>
                <w:rFonts w:hint="eastAsia" w:eastAsia="仿宋_GB2312" w:cs="仿宋_GB2312"/>
                <w:kern w:val="0"/>
                <w:sz w:val="20"/>
                <w:szCs w:val="20"/>
              </w:rPr>
              <w:t>分；</w:t>
            </w:r>
            <w:r>
              <w:rPr>
                <w:rFonts w:hint="eastAsia" w:cs="宋体"/>
                <w:kern w:val="0"/>
                <w:sz w:val="20"/>
                <w:szCs w:val="20"/>
              </w:rPr>
              <w:t>④</w:t>
            </w:r>
            <w:r>
              <w:rPr>
                <w:rFonts w:hint="eastAsia" w:eastAsia="仿宋_GB2312" w:cs="仿宋_GB2312"/>
                <w:kern w:val="0"/>
                <w:sz w:val="20"/>
                <w:szCs w:val="20"/>
              </w:rPr>
              <w:t>相关管理制度得到有效执行，</w:t>
            </w:r>
            <w:r>
              <w:rPr>
                <w:rFonts w:eastAsia="仿宋_GB2312"/>
                <w:kern w:val="0"/>
                <w:sz w:val="20"/>
                <w:szCs w:val="20"/>
              </w:rPr>
              <w:t>2</w:t>
            </w:r>
            <w:r>
              <w:rPr>
                <w:rFonts w:hint="eastAsia" w:eastAsia="仿宋_GB2312" w:cs="仿宋_GB2312"/>
                <w:kern w:val="0"/>
                <w:sz w:val="20"/>
                <w:szCs w:val="20"/>
              </w:rPr>
              <w:t>分。</w:t>
            </w:r>
          </w:p>
        </w:tc>
        <w:tc>
          <w:tcPr>
            <w:tcW w:w="2842"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cs="仿宋_GB2312"/>
                <w:kern w:val="0"/>
                <w:sz w:val="20"/>
                <w:szCs w:val="20"/>
              </w:rPr>
              <w:t>　</w:t>
            </w:r>
          </w:p>
        </w:tc>
        <w:tc>
          <w:tcPr>
            <w:tcW w:w="720"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8</w:t>
            </w:r>
          </w:p>
        </w:tc>
        <w:tc>
          <w:tcPr>
            <w:tcW w:w="865" w:type="dxa"/>
            <w:tcBorders>
              <w:top w:val="nil"/>
              <w:left w:val="nil"/>
              <w:bottom w:val="single" w:color="auto" w:sz="4" w:space="0"/>
              <w:right w:val="single" w:color="auto" w:sz="4" w:space="0"/>
            </w:tcBorders>
          </w:tcPr>
          <w:p>
            <w:pPr>
              <w:widowControl/>
              <w:spacing w:line="280" w:lineRule="exact"/>
              <w:jc w:val="left"/>
              <w:rPr>
                <w:rFonts w:eastAsia="仿宋_GB2312"/>
                <w:kern w:val="0"/>
                <w:sz w:val="24"/>
                <w:szCs w:val="24"/>
              </w:rPr>
            </w:pPr>
            <w:r>
              <w:rPr>
                <w:rFonts w:hint="eastAsia" w:eastAsia="仿宋_GB2312" w:cs="仿宋_GB2312"/>
                <w:kern w:val="0"/>
                <w:sz w:val="24"/>
                <w:szCs w:val="24"/>
              </w:rPr>
              <w:t>制度完整</w:t>
            </w:r>
          </w:p>
        </w:tc>
      </w:tr>
      <w:tr>
        <w:tblPrEx>
          <w:tblLayout w:type="fixed"/>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673"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single" w:color="auto" w:sz="4" w:space="0"/>
              <w:left w:val="single" w:color="auto" w:sz="4" w:space="0"/>
              <w:right w:val="single" w:color="auto" w:sz="4" w:space="0"/>
            </w:tcBorders>
            <w:vAlign w:val="center"/>
          </w:tcPr>
          <w:p>
            <w:pPr>
              <w:widowControl/>
              <w:spacing w:line="280" w:lineRule="exact"/>
              <w:jc w:val="left"/>
              <w:rPr>
                <w:rFonts w:eastAsia="仿宋_GB2312"/>
                <w:kern w:val="0"/>
                <w:sz w:val="20"/>
                <w:szCs w:val="20"/>
              </w:rPr>
            </w:pP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资金使用合规性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 w:val="20"/>
                <w:szCs w:val="20"/>
              </w:rPr>
            </w:pPr>
            <w:r>
              <w:rPr>
                <w:rFonts w:hint="eastAsia" w:cs="宋体"/>
                <w:kern w:val="0"/>
                <w:sz w:val="20"/>
                <w:szCs w:val="20"/>
              </w:rPr>
              <w:t>①</w:t>
            </w:r>
            <w:r>
              <w:rPr>
                <w:rFonts w:hint="eastAsia" w:eastAsia="仿宋_GB2312" w:cs="仿宋_GB2312"/>
                <w:kern w:val="0"/>
                <w:sz w:val="20"/>
                <w:szCs w:val="20"/>
              </w:rPr>
              <w:t>支出符合国家财经法规和财务管理制度规定以及有关专项资金管理办法的规定；</w:t>
            </w:r>
            <w:r>
              <w:rPr>
                <w:rFonts w:hint="eastAsia" w:cs="宋体"/>
                <w:kern w:val="0"/>
                <w:sz w:val="20"/>
                <w:szCs w:val="20"/>
              </w:rPr>
              <w:t>②</w:t>
            </w:r>
            <w:r>
              <w:rPr>
                <w:rFonts w:hint="eastAsia" w:eastAsia="仿宋_GB2312" w:cs="仿宋_GB2312"/>
                <w:kern w:val="0"/>
                <w:sz w:val="20"/>
                <w:szCs w:val="20"/>
              </w:rPr>
              <w:t>资金拨付有完整的审批程序和手续；</w:t>
            </w:r>
            <w:r>
              <w:rPr>
                <w:rFonts w:hint="eastAsia" w:cs="宋体"/>
                <w:kern w:val="0"/>
                <w:sz w:val="20"/>
                <w:szCs w:val="20"/>
              </w:rPr>
              <w:t>③</w:t>
            </w:r>
            <w:r>
              <w:rPr>
                <w:rFonts w:hint="eastAsia" w:eastAsia="仿宋_GB2312" w:cs="仿宋_GB2312"/>
                <w:kern w:val="0"/>
                <w:sz w:val="20"/>
                <w:szCs w:val="20"/>
              </w:rPr>
              <w:t>项目支出按规定经过评估论证；</w:t>
            </w:r>
            <w:r>
              <w:rPr>
                <w:rFonts w:hint="eastAsia" w:cs="宋体"/>
                <w:kern w:val="0"/>
                <w:sz w:val="20"/>
                <w:szCs w:val="20"/>
              </w:rPr>
              <w:t>④</w:t>
            </w:r>
            <w:r>
              <w:rPr>
                <w:rFonts w:hint="eastAsia" w:eastAsia="仿宋_GB2312" w:cs="仿宋_GB2312"/>
                <w:kern w:val="0"/>
                <w:sz w:val="20"/>
                <w:szCs w:val="20"/>
              </w:rPr>
              <w:t>支出符合部门预算批复的用途；</w:t>
            </w:r>
            <w:r>
              <w:rPr>
                <w:rFonts w:hint="eastAsia" w:cs="宋体"/>
                <w:kern w:val="0"/>
                <w:sz w:val="20"/>
                <w:szCs w:val="20"/>
              </w:rPr>
              <w:t>⑤</w:t>
            </w:r>
            <w:r>
              <w:rPr>
                <w:rFonts w:hint="eastAsia" w:eastAsia="仿宋_GB2312" w:cs="仿宋_GB2312"/>
                <w:kern w:val="0"/>
                <w:sz w:val="20"/>
                <w:szCs w:val="20"/>
              </w:rPr>
              <w:t>资金使用无截留、挤占、挪用、虚列支出等情况。</w:t>
            </w:r>
          </w:p>
          <w:p>
            <w:pPr>
              <w:widowControl/>
              <w:spacing w:line="240" w:lineRule="exact"/>
              <w:jc w:val="left"/>
              <w:rPr>
                <w:rFonts w:eastAsia="仿宋_GB2312"/>
                <w:kern w:val="0"/>
                <w:sz w:val="20"/>
                <w:szCs w:val="20"/>
              </w:rPr>
            </w:pP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842"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cs="仿宋_GB2312"/>
                <w:kern w:val="0"/>
                <w:sz w:val="20"/>
                <w:szCs w:val="20"/>
              </w:rPr>
              <w:t>　</w:t>
            </w:r>
          </w:p>
        </w:tc>
        <w:tc>
          <w:tcPr>
            <w:tcW w:w="720"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6</w:t>
            </w:r>
          </w:p>
        </w:tc>
        <w:tc>
          <w:tcPr>
            <w:tcW w:w="865" w:type="dxa"/>
            <w:tcBorders>
              <w:top w:val="nil"/>
              <w:left w:val="nil"/>
              <w:bottom w:val="single" w:color="auto" w:sz="4" w:space="0"/>
              <w:right w:val="single" w:color="auto" w:sz="4" w:space="0"/>
            </w:tcBorders>
          </w:tcPr>
          <w:p>
            <w:pPr>
              <w:widowControl/>
              <w:spacing w:line="280" w:lineRule="exact"/>
              <w:jc w:val="left"/>
              <w:rPr>
                <w:rFonts w:eastAsia="仿宋_GB2312"/>
                <w:kern w:val="0"/>
                <w:sz w:val="24"/>
                <w:szCs w:val="24"/>
              </w:rPr>
            </w:pPr>
            <w:r>
              <w:rPr>
                <w:rFonts w:hint="eastAsia" w:eastAsia="仿宋_GB2312" w:cs="仿宋_GB2312"/>
                <w:kern w:val="0"/>
                <w:sz w:val="24"/>
                <w:szCs w:val="24"/>
              </w:rPr>
              <w:t>无违规情况</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spacing w:val="-17"/>
                <w:kern w:val="0"/>
                <w:sz w:val="20"/>
                <w:szCs w:val="20"/>
              </w:rPr>
              <w:t>预决算信息</w:t>
            </w:r>
            <w:r>
              <w:rPr>
                <w:rFonts w:hint="eastAsia" w:eastAsia="仿宋_GB2312" w:cs="仿宋_GB2312"/>
                <w:kern w:val="0"/>
                <w:sz w:val="20"/>
                <w:szCs w:val="20"/>
              </w:rPr>
              <w:t>公开性</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 w:val="20"/>
                <w:szCs w:val="20"/>
              </w:rPr>
            </w:pPr>
            <w:r>
              <w:rPr>
                <w:rFonts w:hint="eastAsia" w:cs="宋体"/>
                <w:kern w:val="0"/>
                <w:sz w:val="20"/>
                <w:szCs w:val="20"/>
              </w:rPr>
              <w:t>①</w:t>
            </w:r>
            <w:r>
              <w:rPr>
                <w:rFonts w:hint="eastAsia" w:eastAsia="仿宋_GB2312" w:cs="仿宋_GB2312"/>
                <w:kern w:val="0"/>
                <w:sz w:val="20"/>
                <w:szCs w:val="20"/>
              </w:rPr>
              <w:t>按规定内容公开预决算信息，</w:t>
            </w:r>
            <w:r>
              <w:rPr>
                <w:rFonts w:eastAsia="仿宋_GB2312"/>
                <w:kern w:val="0"/>
                <w:sz w:val="20"/>
                <w:szCs w:val="20"/>
              </w:rPr>
              <w:t>1</w:t>
            </w:r>
            <w:r>
              <w:rPr>
                <w:rFonts w:hint="eastAsia" w:eastAsia="仿宋_GB2312" w:cs="仿宋_GB2312"/>
                <w:kern w:val="0"/>
                <w:sz w:val="20"/>
                <w:szCs w:val="20"/>
              </w:rPr>
              <w:t>分；</w:t>
            </w:r>
            <w:r>
              <w:rPr>
                <w:rFonts w:hint="eastAsia" w:cs="宋体"/>
                <w:kern w:val="0"/>
                <w:sz w:val="20"/>
                <w:szCs w:val="20"/>
              </w:rPr>
              <w:t>②</w:t>
            </w:r>
            <w:r>
              <w:rPr>
                <w:rFonts w:hint="eastAsia" w:eastAsia="仿宋_GB2312" w:cs="仿宋_GB2312"/>
                <w:kern w:val="0"/>
                <w:sz w:val="20"/>
                <w:szCs w:val="20"/>
              </w:rPr>
              <w:t>按规定时限公开预决算信息，</w:t>
            </w:r>
            <w:r>
              <w:rPr>
                <w:rFonts w:eastAsia="仿宋_GB2312"/>
                <w:kern w:val="0"/>
                <w:sz w:val="20"/>
                <w:szCs w:val="20"/>
              </w:rPr>
              <w:t>1</w:t>
            </w:r>
            <w:r>
              <w:rPr>
                <w:rFonts w:hint="eastAsia" w:eastAsia="仿宋_GB2312" w:cs="仿宋_GB2312"/>
                <w:kern w:val="0"/>
                <w:sz w:val="20"/>
                <w:szCs w:val="20"/>
              </w:rPr>
              <w:t>分；</w:t>
            </w:r>
            <w:r>
              <w:rPr>
                <w:rFonts w:hint="eastAsia" w:cs="宋体"/>
                <w:kern w:val="0"/>
                <w:sz w:val="20"/>
                <w:szCs w:val="20"/>
              </w:rPr>
              <w:t>③</w:t>
            </w:r>
            <w:r>
              <w:rPr>
                <w:rFonts w:hint="eastAsia" w:eastAsia="仿宋_GB2312" w:cs="仿宋_GB2312"/>
                <w:kern w:val="0"/>
                <w:sz w:val="20"/>
                <w:szCs w:val="20"/>
              </w:rPr>
              <w:t>基础数据信息和会计信息资料真实，</w:t>
            </w:r>
            <w:r>
              <w:rPr>
                <w:rFonts w:eastAsia="仿宋_GB2312"/>
                <w:kern w:val="0"/>
                <w:sz w:val="20"/>
                <w:szCs w:val="20"/>
              </w:rPr>
              <w:t>1</w:t>
            </w:r>
            <w:r>
              <w:rPr>
                <w:rFonts w:hint="eastAsia" w:eastAsia="仿宋_GB2312" w:cs="仿宋_GB2312"/>
                <w:kern w:val="0"/>
                <w:sz w:val="20"/>
                <w:szCs w:val="20"/>
              </w:rPr>
              <w:t>分；</w:t>
            </w:r>
            <w:r>
              <w:rPr>
                <w:rFonts w:hint="eastAsia" w:cs="宋体"/>
                <w:kern w:val="0"/>
                <w:sz w:val="20"/>
                <w:szCs w:val="20"/>
              </w:rPr>
              <w:t>④</w:t>
            </w:r>
            <w:r>
              <w:rPr>
                <w:rFonts w:hint="eastAsia" w:eastAsia="仿宋_GB2312" w:cs="仿宋_GB2312"/>
                <w:kern w:val="0"/>
                <w:sz w:val="20"/>
                <w:szCs w:val="20"/>
              </w:rPr>
              <w:t>基础数据信息和会计信息资料完整，</w:t>
            </w:r>
            <w:r>
              <w:rPr>
                <w:rFonts w:eastAsia="仿宋_GB2312"/>
                <w:kern w:val="0"/>
                <w:sz w:val="20"/>
                <w:szCs w:val="20"/>
              </w:rPr>
              <w:t>1</w:t>
            </w:r>
            <w:r>
              <w:rPr>
                <w:rFonts w:hint="eastAsia" w:eastAsia="仿宋_GB2312" w:cs="仿宋_GB2312"/>
                <w:kern w:val="0"/>
                <w:sz w:val="20"/>
                <w:szCs w:val="20"/>
              </w:rPr>
              <w:t>分；</w:t>
            </w:r>
            <w:r>
              <w:rPr>
                <w:rFonts w:hint="eastAsia" w:cs="宋体"/>
                <w:kern w:val="0"/>
                <w:sz w:val="20"/>
                <w:szCs w:val="20"/>
              </w:rPr>
              <w:t>⑤</w:t>
            </w:r>
            <w:r>
              <w:rPr>
                <w:rFonts w:hint="eastAsia" w:eastAsia="仿宋_GB2312" w:cs="仿宋_GB2312"/>
                <w:kern w:val="0"/>
                <w:sz w:val="20"/>
                <w:szCs w:val="20"/>
              </w:rPr>
              <w:t>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842"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p>
        </w:tc>
        <w:tc>
          <w:tcPr>
            <w:tcW w:w="720"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5</w:t>
            </w:r>
          </w:p>
        </w:tc>
        <w:tc>
          <w:tcPr>
            <w:tcW w:w="865" w:type="dxa"/>
            <w:tcBorders>
              <w:top w:val="nil"/>
              <w:left w:val="nil"/>
              <w:bottom w:val="single" w:color="auto" w:sz="4" w:space="0"/>
              <w:right w:val="single" w:color="auto" w:sz="4" w:space="0"/>
            </w:tcBorders>
          </w:tcPr>
          <w:p>
            <w:pPr>
              <w:widowControl/>
              <w:spacing w:line="280" w:lineRule="exact"/>
              <w:jc w:val="left"/>
              <w:rPr>
                <w:rFonts w:eastAsia="仿宋_GB2312"/>
                <w:kern w:val="0"/>
                <w:sz w:val="24"/>
                <w:szCs w:val="24"/>
              </w:rPr>
            </w:pPr>
            <w:r>
              <w:rPr>
                <w:rFonts w:hint="eastAsia" w:eastAsia="仿宋_GB2312" w:cs="仿宋_GB2312"/>
                <w:kern w:val="0"/>
                <w:sz w:val="24"/>
                <w:szCs w:val="24"/>
              </w:rPr>
              <w:t>已按要求公开</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26</w:t>
            </w:r>
          </w:p>
        </w:tc>
        <w:tc>
          <w:tcPr>
            <w:tcW w:w="673"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职责履行</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8</w:t>
            </w:r>
          </w:p>
        </w:tc>
        <w:tc>
          <w:tcPr>
            <w:tcW w:w="1072" w:type="dxa"/>
            <w:tcBorders>
              <w:top w:val="nil"/>
              <w:left w:val="nil"/>
              <w:bottom w:val="nil"/>
              <w:right w:val="single" w:color="auto" w:sz="4" w:space="0"/>
            </w:tcBorders>
            <w:vAlign w:val="center"/>
          </w:tcPr>
          <w:p>
            <w:pPr>
              <w:widowControl/>
              <w:spacing w:line="280" w:lineRule="exact"/>
              <w:jc w:val="center"/>
              <w:rPr>
                <w:rFonts w:eastAsia="仿宋_GB2312"/>
                <w:spacing w:val="-20"/>
                <w:kern w:val="0"/>
                <w:sz w:val="20"/>
                <w:szCs w:val="20"/>
              </w:rPr>
            </w:pPr>
            <w:r>
              <w:rPr>
                <w:rFonts w:hint="eastAsia" w:eastAsia="仿宋_GB2312" w:cs="仿宋_GB2312"/>
                <w:spacing w:val="-20"/>
                <w:kern w:val="0"/>
                <w:sz w:val="20"/>
                <w:szCs w:val="20"/>
              </w:rPr>
              <w:t>重点工作</w:t>
            </w:r>
          </w:p>
          <w:p>
            <w:pPr>
              <w:widowControl/>
              <w:spacing w:line="280" w:lineRule="exact"/>
              <w:jc w:val="center"/>
              <w:rPr>
                <w:rFonts w:eastAsia="仿宋_GB2312"/>
                <w:kern w:val="0"/>
                <w:sz w:val="20"/>
                <w:szCs w:val="20"/>
              </w:rPr>
            </w:pPr>
            <w:r>
              <w:rPr>
                <w:rFonts w:hint="eastAsia" w:eastAsia="仿宋_GB2312" w:cs="仿宋_GB2312"/>
                <w:spacing w:val="-20"/>
                <w:kern w:val="0"/>
                <w:sz w:val="20"/>
                <w:szCs w:val="20"/>
              </w:rPr>
              <w:t>实际完成率</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 w:val="20"/>
                <w:szCs w:val="20"/>
              </w:rPr>
            </w:pPr>
            <w:r>
              <w:rPr>
                <w:rFonts w:hint="eastAsia" w:eastAsia="仿宋_GB2312" w:cs="仿宋_GB2312"/>
                <w:kern w:val="0"/>
                <w:sz w:val="20"/>
                <w:szCs w:val="20"/>
              </w:rPr>
              <w:t>根据绩效办对各部门为民办实事和部门重点工程与重点工作考核分数折算。</w:t>
            </w:r>
          </w:p>
          <w:p>
            <w:pPr>
              <w:widowControl/>
              <w:spacing w:line="240" w:lineRule="exact"/>
              <w:jc w:val="left"/>
              <w:rPr>
                <w:rFonts w:eastAsia="仿宋_GB2312"/>
                <w:kern w:val="0"/>
                <w:sz w:val="20"/>
                <w:szCs w:val="20"/>
              </w:rPr>
            </w:pP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842"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cs="仿宋_GB2312"/>
                <w:kern w:val="0"/>
                <w:sz w:val="20"/>
                <w:szCs w:val="20"/>
              </w:rPr>
              <w:t>　</w:t>
            </w:r>
          </w:p>
        </w:tc>
        <w:tc>
          <w:tcPr>
            <w:tcW w:w="720"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8</w:t>
            </w:r>
          </w:p>
        </w:tc>
        <w:tc>
          <w:tcPr>
            <w:tcW w:w="865" w:type="dxa"/>
            <w:tcBorders>
              <w:top w:val="nil"/>
              <w:left w:val="nil"/>
              <w:bottom w:val="single" w:color="auto" w:sz="4" w:space="0"/>
              <w:right w:val="single" w:color="auto" w:sz="4" w:space="0"/>
            </w:tcBorders>
          </w:tcPr>
          <w:p>
            <w:pPr>
              <w:widowControl/>
              <w:spacing w:line="280" w:lineRule="exact"/>
              <w:jc w:val="left"/>
              <w:rPr>
                <w:rFonts w:eastAsia="仿宋_GB2312"/>
                <w:kern w:val="0"/>
                <w:sz w:val="24"/>
                <w:szCs w:val="24"/>
              </w:rPr>
            </w:pPr>
            <w:r>
              <w:rPr>
                <w:rFonts w:hint="eastAsia" w:eastAsia="仿宋_GB2312" w:cs="仿宋_GB2312"/>
                <w:kern w:val="0"/>
                <w:sz w:val="24"/>
                <w:szCs w:val="24"/>
              </w:rPr>
              <w:t>区政府年度考核绩效等级为优秀</w:t>
            </w:r>
          </w:p>
        </w:tc>
      </w:tr>
      <w:tr>
        <w:tblPrEx>
          <w:tblLayout w:type="fixed"/>
          <w:tblCellMar>
            <w:top w:w="0" w:type="dxa"/>
            <w:left w:w="108" w:type="dxa"/>
            <w:bottom w:w="0" w:type="dxa"/>
            <w:right w:w="108" w:type="dxa"/>
          </w:tblCellMar>
        </w:tblPrEx>
        <w:trPr>
          <w:trHeight w:val="357"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经济效益</w:t>
            </w:r>
          </w:p>
        </w:tc>
        <w:tc>
          <w:tcPr>
            <w:tcW w:w="416" w:type="dxa"/>
            <w:vMerge w:val="restart"/>
            <w:tcBorders>
              <w:top w:val="nil"/>
              <w:left w:val="single" w:color="auto" w:sz="4" w:space="0"/>
              <w:bottom w:val="nil"/>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5166" w:type="dxa"/>
            <w:gridSpan w:val="2"/>
            <w:vMerge w:val="restart"/>
            <w:tcBorders>
              <w:top w:val="single" w:color="auto" w:sz="4" w:space="0"/>
              <w:left w:val="single" w:color="auto" w:sz="4" w:space="0"/>
              <w:bottom w:val="nil"/>
              <w:right w:val="single" w:color="000000" w:sz="4" w:space="0"/>
            </w:tcBorders>
            <w:vAlign w:val="center"/>
          </w:tcPr>
          <w:p>
            <w:pPr>
              <w:widowControl/>
              <w:numPr>
                <w:ilvl w:val="0"/>
                <w:numId w:val="1"/>
              </w:numPr>
              <w:spacing w:line="240" w:lineRule="exact"/>
              <w:jc w:val="left"/>
              <w:rPr>
                <w:rFonts w:ascii="仿宋_GB2312" w:hAnsi="楷体_GB2312" w:eastAsia="仿宋_GB2312"/>
                <w:sz w:val="18"/>
                <w:szCs w:val="18"/>
                <w:lang w:val="zh-CN"/>
              </w:rPr>
            </w:pPr>
            <w:r>
              <w:rPr>
                <w:rFonts w:hint="eastAsia" w:ascii="仿宋_GB2312" w:hAnsi="楷体_GB2312" w:eastAsia="仿宋_GB2312" w:cs="仿宋_GB2312"/>
                <w:sz w:val="18"/>
                <w:szCs w:val="18"/>
                <w:lang w:val="zh-CN"/>
              </w:rPr>
              <w:t>为区域经济发展保驾护航，</w:t>
            </w:r>
            <w:r>
              <w:rPr>
                <w:rFonts w:hint="eastAsia" w:ascii="仿宋_GB2312" w:hAnsi="黑体" w:eastAsia="仿宋_GB2312" w:cs="仿宋_GB2312"/>
                <w:sz w:val="18"/>
                <w:szCs w:val="18"/>
              </w:rPr>
              <w:t>围绕发展大局，营商环境深度净化。</w:t>
            </w:r>
          </w:p>
          <w:p>
            <w:pPr>
              <w:widowControl/>
              <w:spacing w:line="240" w:lineRule="exact"/>
              <w:jc w:val="left"/>
              <w:rPr>
                <w:rFonts w:ascii="仿宋_GB2312" w:eastAsia="仿宋_GB2312"/>
                <w:color w:val="FF0000"/>
                <w:kern w:val="0"/>
                <w:sz w:val="18"/>
                <w:szCs w:val="18"/>
              </w:rPr>
            </w:pPr>
            <w:r>
              <w:rPr>
                <w:rFonts w:ascii="仿宋_GB2312" w:hAnsi="楷体_GB2312" w:eastAsia="仿宋_GB2312" w:cs="仿宋_GB2312"/>
                <w:sz w:val="18"/>
                <w:szCs w:val="18"/>
                <w:lang w:val="zh-CN"/>
              </w:rPr>
              <w:t>2.</w:t>
            </w:r>
            <w:r>
              <w:rPr>
                <w:rFonts w:hint="eastAsia" w:ascii="仿宋_GB2312" w:hAnsi="楷体_GB2312" w:eastAsia="仿宋_GB2312" w:cs="仿宋_GB2312"/>
                <w:sz w:val="18"/>
                <w:szCs w:val="18"/>
                <w:lang w:val="zh-CN"/>
              </w:rPr>
              <w:t>坚持共建共治共享，提升社会综合治理效能，考核结果合格以上</w:t>
            </w:r>
          </w:p>
        </w:tc>
        <w:tc>
          <w:tcPr>
            <w:tcW w:w="720" w:type="dxa"/>
            <w:vMerge w:val="restart"/>
            <w:tcBorders>
              <w:top w:val="nil"/>
              <w:left w:val="nil"/>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color w:val="FF0000"/>
                <w:kern w:val="0"/>
                <w:sz w:val="24"/>
                <w:szCs w:val="24"/>
              </w:rPr>
              <w:t>　</w:t>
            </w:r>
            <w:r>
              <w:rPr>
                <w:rFonts w:eastAsia="仿宋_GB2312"/>
                <w:kern w:val="0"/>
                <w:sz w:val="24"/>
                <w:szCs w:val="24"/>
              </w:rPr>
              <w:t>6</w:t>
            </w:r>
          </w:p>
        </w:tc>
        <w:tc>
          <w:tcPr>
            <w:tcW w:w="865" w:type="dxa"/>
            <w:tcBorders>
              <w:top w:val="nil"/>
              <w:left w:val="nil"/>
              <w:right w:val="single" w:color="auto" w:sz="4" w:space="0"/>
            </w:tcBorders>
          </w:tcPr>
          <w:p>
            <w:pPr>
              <w:widowControl/>
              <w:spacing w:line="280" w:lineRule="exact"/>
              <w:jc w:val="left"/>
              <w:rPr>
                <w:rFonts w:eastAsia="仿宋_GB2312"/>
                <w:color w:val="FF0000"/>
                <w:kern w:val="0"/>
                <w:sz w:val="18"/>
                <w:szCs w:val="18"/>
              </w:rPr>
            </w:pPr>
            <w:r>
              <w:rPr>
                <w:rFonts w:hint="eastAsia" w:ascii="仿宋_GB2312" w:hAnsi="仿宋_GB2312" w:eastAsia="仿宋_GB2312" w:cs="仿宋_GB2312"/>
                <w:sz w:val="18"/>
                <w:szCs w:val="18"/>
              </w:rPr>
              <w:t>及时开展维护性施工</w:t>
            </w:r>
            <w:r>
              <w:rPr>
                <w:rFonts w:ascii="仿宋_GB2312" w:hAnsi="仿宋_GB2312" w:eastAsia="仿宋_GB2312" w:cs="仿宋_GB2312"/>
                <w:sz w:val="18"/>
                <w:szCs w:val="18"/>
              </w:rPr>
              <w:t>117</w:t>
            </w:r>
            <w:r>
              <w:rPr>
                <w:rFonts w:hint="eastAsia" w:ascii="仿宋_GB2312" w:hAnsi="仿宋_GB2312" w:eastAsia="仿宋_GB2312" w:cs="仿宋_GB2312"/>
                <w:sz w:val="18"/>
                <w:szCs w:val="18"/>
              </w:rPr>
              <w:t>次，出动警力</w:t>
            </w:r>
            <w:r>
              <w:rPr>
                <w:rFonts w:ascii="仿宋_GB2312" w:hAnsi="仿宋_GB2312" w:eastAsia="仿宋_GB2312" w:cs="仿宋_GB2312"/>
                <w:sz w:val="18"/>
                <w:szCs w:val="18"/>
              </w:rPr>
              <w:t>2500</w:t>
            </w:r>
            <w:r>
              <w:rPr>
                <w:rFonts w:hint="eastAsia" w:ascii="仿宋_GB2312" w:hAnsi="仿宋_GB2312" w:eastAsia="仿宋_GB2312" w:cs="仿宋_GB2312"/>
                <w:sz w:val="18"/>
                <w:szCs w:val="18"/>
              </w:rPr>
              <w:t>余人次</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hint="eastAsia" w:eastAsia="仿宋_GB2312" w:cs="仿宋_GB2312"/>
                <w:kern w:val="0"/>
                <w:sz w:val="20"/>
                <w:szCs w:val="20"/>
              </w:rPr>
              <w:t>社会效益</w:t>
            </w:r>
          </w:p>
        </w:tc>
        <w:tc>
          <w:tcPr>
            <w:tcW w:w="416" w:type="dxa"/>
            <w:vMerge w:val="continue"/>
            <w:tcBorders>
              <w:top w:val="nil"/>
              <w:left w:val="single" w:color="auto" w:sz="4" w:space="0"/>
              <w:bottom w:val="nil"/>
              <w:right w:val="single" w:color="auto" w:sz="4" w:space="0"/>
            </w:tcBorders>
            <w:vAlign w:val="center"/>
          </w:tcPr>
          <w:p>
            <w:pPr>
              <w:widowControl/>
              <w:spacing w:line="280" w:lineRule="exact"/>
              <w:jc w:val="left"/>
              <w:rPr>
                <w:rFonts w:eastAsia="仿宋_GB2312"/>
                <w:kern w:val="0"/>
                <w:sz w:val="20"/>
                <w:szCs w:val="20"/>
              </w:rPr>
            </w:pPr>
          </w:p>
        </w:tc>
        <w:tc>
          <w:tcPr>
            <w:tcW w:w="5166"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eastAsia="仿宋_GB2312"/>
                <w:kern w:val="0"/>
                <w:sz w:val="20"/>
                <w:szCs w:val="20"/>
              </w:rPr>
            </w:pPr>
          </w:p>
        </w:tc>
        <w:tc>
          <w:tcPr>
            <w:tcW w:w="720" w:type="dxa"/>
            <w:vMerge w:val="continue"/>
            <w:tcBorders>
              <w:left w:val="nil"/>
              <w:bottom w:val="nil"/>
              <w:right w:val="single" w:color="auto" w:sz="4" w:space="0"/>
            </w:tcBorders>
            <w:vAlign w:val="center"/>
          </w:tcPr>
          <w:p>
            <w:pPr>
              <w:widowControl/>
              <w:spacing w:line="280" w:lineRule="exact"/>
              <w:jc w:val="left"/>
              <w:rPr>
                <w:rFonts w:eastAsia="仿宋_GB2312"/>
                <w:color w:val="FF0000"/>
                <w:kern w:val="0"/>
                <w:sz w:val="24"/>
                <w:szCs w:val="24"/>
              </w:rPr>
            </w:pPr>
          </w:p>
        </w:tc>
        <w:tc>
          <w:tcPr>
            <w:tcW w:w="865" w:type="dxa"/>
            <w:tcBorders>
              <w:left w:val="nil"/>
              <w:bottom w:val="nil"/>
              <w:right w:val="single" w:color="auto" w:sz="4" w:space="0"/>
            </w:tcBorders>
          </w:tcPr>
          <w:p>
            <w:pPr>
              <w:widowControl/>
              <w:spacing w:line="280" w:lineRule="exact"/>
              <w:jc w:val="left"/>
              <w:rPr>
                <w:rFonts w:eastAsia="仿宋_GB2312"/>
                <w:kern w:val="0"/>
                <w:sz w:val="18"/>
                <w:szCs w:val="18"/>
              </w:rPr>
            </w:pPr>
            <w:r>
              <w:rPr>
                <w:rFonts w:hint="eastAsia" w:eastAsia="仿宋_GB2312" w:cs="仿宋_GB2312"/>
                <w:kern w:val="0"/>
                <w:sz w:val="18"/>
                <w:szCs w:val="18"/>
              </w:rPr>
              <w:t>年度综治考核优秀</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12</w:t>
            </w: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cs="仿宋_GB2312"/>
                <w:kern w:val="0"/>
                <w:sz w:val="20"/>
                <w:szCs w:val="20"/>
              </w:rPr>
              <w:t>行政效能</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842" w:type="dxa"/>
            <w:tcBorders>
              <w:top w:val="single" w:color="auto" w:sz="4" w:space="0"/>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720" w:type="dxa"/>
            <w:tcBorders>
              <w:top w:val="single" w:color="auto" w:sz="4" w:space="0"/>
              <w:left w:val="nil"/>
              <w:bottom w:val="single" w:color="auto" w:sz="4" w:space="0"/>
              <w:right w:val="single" w:color="auto" w:sz="4" w:space="0"/>
            </w:tcBorders>
            <w:vAlign w:val="center"/>
          </w:tcPr>
          <w:p>
            <w:pPr>
              <w:widowControl/>
              <w:spacing w:line="280" w:lineRule="exact"/>
              <w:jc w:val="left"/>
              <w:rPr>
                <w:rFonts w:eastAsia="仿宋_GB2312"/>
                <w:color w:val="FF0000"/>
                <w:kern w:val="0"/>
                <w:sz w:val="24"/>
                <w:szCs w:val="24"/>
              </w:rPr>
            </w:pPr>
            <w:r>
              <w:rPr>
                <w:rFonts w:eastAsia="仿宋_GB2312"/>
                <w:kern w:val="0"/>
                <w:sz w:val="24"/>
                <w:szCs w:val="24"/>
              </w:rPr>
              <w:t>6</w:t>
            </w:r>
          </w:p>
        </w:tc>
        <w:tc>
          <w:tcPr>
            <w:tcW w:w="865" w:type="dxa"/>
            <w:tcBorders>
              <w:top w:val="single" w:color="auto" w:sz="4" w:space="0"/>
              <w:left w:val="nil"/>
              <w:bottom w:val="single" w:color="auto" w:sz="4" w:space="0"/>
              <w:right w:val="single" w:color="auto" w:sz="4" w:space="0"/>
            </w:tcBorders>
          </w:tcPr>
          <w:p>
            <w:pPr>
              <w:widowControl/>
              <w:spacing w:line="280" w:lineRule="exact"/>
              <w:jc w:val="left"/>
              <w:rPr>
                <w:rFonts w:eastAsia="仿宋_GB2312"/>
                <w:color w:val="FF0000"/>
                <w:kern w:val="0"/>
                <w:sz w:val="18"/>
                <w:szCs w:val="18"/>
              </w:rPr>
            </w:pPr>
            <w:r>
              <w:rPr>
                <w:rFonts w:eastAsia="仿宋_GB2312"/>
                <w:kern w:val="0"/>
                <w:sz w:val="18"/>
                <w:szCs w:val="18"/>
              </w:rPr>
              <w:t>1.</w:t>
            </w:r>
            <w:r>
              <w:rPr>
                <w:rFonts w:hint="eastAsia" w:eastAsia="仿宋_GB2312" w:cs="仿宋_GB2312"/>
                <w:kern w:val="0"/>
                <w:sz w:val="18"/>
                <w:szCs w:val="18"/>
              </w:rPr>
              <w:t>推广使用</w:t>
            </w:r>
            <w:r>
              <w:rPr>
                <w:rFonts w:eastAsia="仿宋_GB2312"/>
                <w:kern w:val="0"/>
                <w:sz w:val="18"/>
                <w:szCs w:val="18"/>
              </w:rPr>
              <w:t>96111APP</w:t>
            </w:r>
            <w:r>
              <w:rPr>
                <w:rFonts w:hint="eastAsia" w:eastAsia="仿宋_GB2312" w:cs="仿宋_GB2312"/>
                <w:kern w:val="0"/>
                <w:sz w:val="18"/>
                <w:szCs w:val="18"/>
              </w:rPr>
              <w:t>办理公安业务</w:t>
            </w:r>
            <w:r>
              <w:rPr>
                <w:rFonts w:eastAsia="仿宋_GB2312"/>
                <w:kern w:val="0"/>
                <w:sz w:val="18"/>
                <w:szCs w:val="18"/>
              </w:rPr>
              <w:t>2.</w:t>
            </w:r>
            <w:r>
              <w:rPr>
                <w:rFonts w:hint="eastAsia" w:eastAsia="仿宋_GB2312" w:cs="仿宋_GB2312"/>
                <w:kern w:val="0"/>
                <w:sz w:val="18"/>
                <w:szCs w:val="18"/>
              </w:rPr>
              <w:t>人境实行微信便民服务等措施</w:t>
            </w:r>
          </w:p>
        </w:tc>
      </w:tr>
      <w:tr>
        <w:tblPrEx>
          <w:tblLayout w:type="fixed"/>
          <w:tblCellMar>
            <w:top w:w="0" w:type="dxa"/>
            <w:left w:w="108" w:type="dxa"/>
            <w:bottom w:w="0" w:type="dxa"/>
            <w:right w:w="108" w:type="dxa"/>
          </w:tblCellMar>
        </w:tblPrEx>
        <w:trPr>
          <w:trHeight w:val="125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eastAsia="仿宋_GB2312"/>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 w:val="20"/>
                <w:szCs w:val="20"/>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p>
          <w:p>
            <w:pPr>
              <w:widowControl/>
              <w:spacing w:line="240" w:lineRule="exact"/>
              <w:jc w:val="left"/>
              <w:rPr>
                <w:rFonts w:eastAsia="仿宋_GB2312"/>
                <w:kern w:val="0"/>
                <w:sz w:val="20"/>
                <w:szCs w:val="20"/>
              </w:rPr>
            </w:pP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p>
          <w:p>
            <w:pPr>
              <w:widowControl/>
              <w:spacing w:line="240" w:lineRule="exact"/>
              <w:jc w:val="left"/>
              <w:rPr>
                <w:rFonts w:eastAsia="仿宋_GB2312"/>
                <w:kern w:val="0"/>
                <w:sz w:val="20"/>
                <w:szCs w:val="20"/>
              </w:rPr>
            </w:pP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p>
          <w:p>
            <w:pPr>
              <w:widowControl/>
              <w:spacing w:line="240" w:lineRule="exact"/>
              <w:jc w:val="left"/>
              <w:rPr>
                <w:rFonts w:eastAsia="仿宋_GB2312"/>
                <w:kern w:val="0"/>
                <w:sz w:val="20"/>
                <w:szCs w:val="20"/>
              </w:rPr>
            </w:pP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842"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720" w:type="dxa"/>
            <w:tcBorders>
              <w:top w:val="nil"/>
              <w:left w:val="nil"/>
              <w:bottom w:val="single" w:color="auto" w:sz="4" w:space="0"/>
              <w:right w:val="single" w:color="auto" w:sz="4" w:space="0"/>
            </w:tcBorders>
            <w:vAlign w:val="center"/>
          </w:tcPr>
          <w:p>
            <w:pPr>
              <w:widowControl/>
              <w:spacing w:line="280" w:lineRule="exact"/>
              <w:jc w:val="lef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6</w:t>
            </w:r>
          </w:p>
        </w:tc>
        <w:tc>
          <w:tcPr>
            <w:tcW w:w="865" w:type="dxa"/>
            <w:tcBorders>
              <w:top w:val="nil"/>
              <w:left w:val="nil"/>
              <w:bottom w:val="single" w:color="auto" w:sz="4" w:space="0"/>
              <w:right w:val="single" w:color="auto" w:sz="4" w:space="0"/>
            </w:tcBorders>
          </w:tcPr>
          <w:p>
            <w:pPr>
              <w:widowControl/>
              <w:spacing w:line="280" w:lineRule="exact"/>
              <w:jc w:val="left"/>
              <w:rPr>
                <w:rFonts w:eastAsia="仿宋_GB2312"/>
                <w:kern w:val="0"/>
                <w:sz w:val="24"/>
                <w:szCs w:val="24"/>
              </w:rPr>
            </w:pPr>
            <w:r>
              <w:rPr>
                <w:rFonts w:hint="eastAsia" w:eastAsia="仿宋_GB2312" w:cs="仿宋_GB2312"/>
                <w:kern w:val="0"/>
                <w:sz w:val="24"/>
                <w:szCs w:val="24"/>
              </w:rPr>
              <w:t>满意度</w:t>
            </w:r>
            <w:r>
              <w:rPr>
                <w:rFonts w:eastAsia="仿宋_GB2312"/>
                <w:kern w:val="0"/>
                <w:sz w:val="24"/>
                <w:szCs w:val="24"/>
              </w:rPr>
              <w:t>91%</w:t>
            </w:r>
          </w:p>
        </w:tc>
      </w:tr>
    </w:tbl>
    <w:p>
      <w:pPr>
        <w:spacing w:line="40" w:lineRule="exact"/>
        <w:rPr>
          <w:rFonts w:eastAsia="仿宋_GB2312"/>
          <w:sz w:val="32"/>
          <w:szCs w:val="32"/>
        </w:rPr>
      </w:pPr>
    </w:p>
    <w:p>
      <w:r>
        <w:t xml:space="preserve">                                                                       </w:t>
      </w:r>
      <w:r>
        <w:rPr>
          <w:rFonts w:hint="eastAsia" w:cs="宋体"/>
        </w:rPr>
        <w:t>得分</w:t>
      </w:r>
      <w:r>
        <w:t xml:space="preserve"> 91</w:t>
      </w:r>
      <w:r>
        <w:rPr>
          <w:rFonts w:hint="eastAsia" w:cs="宋体"/>
        </w:rPr>
        <w:t>分</w:t>
      </w:r>
    </w:p>
    <w:sectPr>
      <w:footerReference r:id="rId3" w:type="default"/>
      <w:pgSz w:w="11906" w:h="16838"/>
      <w:pgMar w:top="1701" w:right="1587"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w:t>
    </w:r>
    <w:r>
      <w:t xml:space="preserve"> 4 -</w:t>
    </w:r>
    <w:r>
      <w:fldChar w:fldCharType="end"/>
    </w:r>
  </w:p>
  <w:p>
    <w:pPr>
      <w:pStyle w:val="2"/>
      <w:ind w:right="9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0A1"/>
    <w:multiLevelType w:val="multilevel"/>
    <w:tmpl w:val="138D30A1"/>
    <w:lvl w:ilvl="0" w:tentative="0">
      <w:start w:val="1"/>
      <w:numFmt w:val="decimal"/>
      <w:lvlText w:val="%1."/>
      <w:lvlJc w:val="left"/>
      <w:pPr>
        <w:tabs>
          <w:tab w:val="left" w:pos="180"/>
        </w:tabs>
        <w:ind w:left="180" w:hanging="1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5DD"/>
    <w:rsid w:val="000021AE"/>
    <w:rsid w:val="000C2A43"/>
    <w:rsid w:val="000D546E"/>
    <w:rsid w:val="001A29C1"/>
    <w:rsid w:val="002609AF"/>
    <w:rsid w:val="00286908"/>
    <w:rsid w:val="00365685"/>
    <w:rsid w:val="004125DD"/>
    <w:rsid w:val="00434816"/>
    <w:rsid w:val="004754A9"/>
    <w:rsid w:val="005237D7"/>
    <w:rsid w:val="005963C4"/>
    <w:rsid w:val="00597DD6"/>
    <w:rsid w:val="006C23B8"/>
    <w:rsid w:val="00815FB4"/>
    <w:rsid w:val="008B4198"/>
    <w:rsid w:val="008C0B26"/>
    <w:rsid w:val="00A51D16"/>
    <w:rsid w:val="00AD63A4"/>
    <w:rsid w:val="00B23D29"/>
    <w:rsid w:val="00CE0A4E"/>
    <w:rsid w:val="00D616D1"/>
    <w:rsid w:val="00EE5DD4"/>
    <w:rsid w:val="00F57169"/>
    <w:rsid w:val="00F96A7F"/>
    <w:rsid w:val="00FA69C3"/>
    <w:rsid w:val="14326FEE"/>
    <w:rsid w:val="1C562388"/>
    <w:rsid w:val="1F9A44E1"/>
    <w:rsid w:val="20E76C4E"/>
    <w:rsid w:val="21117B9E"/>
    <w:rsid w:val="2190198B"/>
    <w:rsid w:val="222334A6"/>
    <w:rsid w:val="22E249F2"/>
    <w:rsid w:val="268873DA"/>
    <w:rsid w:val="334E574F"/>
    <w:rsid w:val="36531612"/>
    <w:rsid w:val="3DEF6B67"/>
    <w:rsid w:val="44BF6749"/>
    <w:rsid w:val="45044DB5"/>
    <w:rsid w:val="4ABC2939"/>
    <w:rsid w:val="5946224A"/>
    <w:rsid w:val="6B13525F"/>
    <w:rsid w:val="6C0524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ocked="1"/>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link w:val="4"/>
    <w:semiHidden/>
    <w:locked/>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kern w:val="0"/>
      <w:sz w:val="18"/>
      <w:szCs w:val="18"/>
    </w:rPr>
  </w:style>
  <w:style w:type="paragraph" w:customStyle="1" w:styleId="4">
    <w:name w:val="Char1"/>
    <w:basedOn w:val="1"/>
    <w:link w:val="3"/>
    <w:qFormat/>
    <w:uiPriority w:val="99"/>
    <w:pPr>
      <w:widowControl/>
      <w:tabs>
        <w:tab w:val="left" w:pos="1260"/>
      </w:tabs>
      <w:spacing w:after="160" w:line="360" w:lineRule="auto"/>
      <w:ind w:hanging="1200"/>
      <w:jc w:val="left"/>
    </w:pPr>
    <w:rPr>
      <w:rFonts w:ascii="宋体" w:hAnsi="宋体" w:cs="宋体"/>
      <w:b/>
      <w:bCs/>
      <w:kern w:val="0"/>
      <w:sz w:val="28"/>
      <w:szCs w:val="28"/>
      <w:lang w:eastAsia="en-US"/>
    </w:rPr>
  </w:style>
  <w:style w:type="character" w:customStyle="1" w:styleId="6">
    <w:name w:val="Footer Char"/>
    <w:basedOn w:val="3"/>
    <w:link w:val="2"/>
    <w:semiHidden/>
    <w:locked/>
    <w:uiPriority w:val="99"/>
    <w:rPr>
      <w:sz w:val="18"/>
      <w:szCs w:val="18"/>
    </w:rPr>
  </w:style>
  <w:style w:type="paragraph" w:customStyle="1" w:styleId="7">
    <w:name w:val="Char Char Char"/>
    <w:basedOn w:val="1"/>
    <w:qFormat/>
    <w:uiPriority w:val="99"/>
    <w:rPr>
      <w:sz w:val="20"/>
      <w:szCs w:val="20"/>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454</Words>
  <Characters>2593</Characters>
  <Lines>0</Lines>
  <Paragraphs>0</Paragraphs>
  <TotalTime>37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2019-05-16T03:20:00Z</dcterms:created>
  <dc:creator>lenovo</dc:creator>
  <cp:lastModifiedBy>lenovo</cp:lastModifiedBy>
  <dcterms:modified xsi:type="dcterms:W3CDTF">2021-05-10T06:07:01Z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