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00" w:firstLineChars="100"/>
        <w:jc w:val="center"/>
        <w:rPr>
          <w:rFonts w:eastAsia="方正小标宋简体"/>
          <w:kern w:val="0"/>
          <w:sz w:val="40"/>
          <w:szCs w:val="40"/>
        </w:rPr>
      </w:pPr>
      <w:r>
        <w:rPr>
          <w:rFonts w:hint="eastAsia" w:ascii="仿宋" w:hAnsi="仿宋" w:eastAsia="仿宋" w:cs="仿宋"/>
          <w:kern w:val="0"/>
          <w:sz w:val="40"/>
          <w:szCs w:val="40"/>
        </w:rPr>
        <w:t>2019</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p>
      <w:pPr>
        <w:spacing w:line="560" w:lineRule="exact"/>
        <w:ind w:firstLine="400" w:firstLineChars="100"/>
        <w:jc w:val="center"/>
        <w:rPr>
          <w:rFonts w:eastAsia="方正小标宋简体"/>
          <w:kern w:val="0"/>
          <w:sz w:val="40"/>
          <w:szCs w:val="40"/>
        </w:rPr>
      </w:pPr>
    </w:p>
    <w:tbl>
      <w:tblPr>
        <w:tblStyle w:val="2"/>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长沙市望城区工业和信息化局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项   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（1）财政拨款</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2229.9</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2229.9</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（1）基本支出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838.9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838.9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（2）项目支出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1391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1391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rPr>
                <w:rFonts w:hint="eastAsia"/>
                <w:sz w:val="18"/>
                <w:szCs w:val="18"/>
              </w:rPr>
            </w:pPr>
            <w:r>
              <w:rPr>
                <w:rFonts w:hint="eastAsia"/>
                <w:sz w:val="18"/>
                <w:szCs w:val="18"/>
              </w:rPr>
              <w:t>贯彻落实</w:t>
            </w:r>
            <w:r>
              <w:rPr>
                <w:sz w:val="18"/>
                <w:szCs w:val="18"/>
              </w:rPr>
              <w:t>习近平总书记</w:t>
            </w:r>
            <w:r>
              <w:rPr>
                <w:rFonts w:hint="eastAsia"/>
                <w:sz w:val="18"/>
                <w:szCs w:val="18"/>
              </w:rPr>
              <w:t>在</w:t>
            </w:r>
            <w:r>
              <w:rPr>
                <w:rFonts w:hint="eastAsia" w:hAnsi="华文仿宋"/>
                <w:sz w:val="18"/>
                <w:szCs w:val="18"/>
              </w:rPr>
              <w:t>推动中部</w:t>
            </w:r>
            <w:r>
              <w:rPr>
                <w:rFonts w:hAnsi="华文仿宋"/>
                <w:sz w:val="18"/>
                <w:szCs w:val="18"/>
              </w:rPr>
              <w:t>地区崛起工作座谈</w:t>
            </w:r>
            <w:r>
              <w:rPr>
                <w:rFonts w:hint="eastAsia" w:hAnsi="华文仿宋"/>
                <w:sz w:val="18"/>
                <w:szCs w:val="18"/>
              </w:rPr>
              <w:t>会上的重要讲话精神，</w:t>
            </w:r>
            <w:r>
              <w:rPr>
                <w:rFonts w:hint="eastAsia"/>
                <w:sz w:val="18"/>
                <w:szCs w:val="18"/>
              </w:rPr>
              <w:t>紧密结合</w:t>
            </w:r>
            <w:r>
              <w:rPr>
                <w:sz w:val="18"/>
                <w:szCs w:val="18"/>
              </w:rPr>
              <w:t>湖南省</w:t>
            </w:r>
            <w:r>
              <w:rPr>
                <w:rFonts w:hint="eastAsia"/>
                <w:sz w:val="18"/>
                <w:szCs w:val="18"/>
              </w:rPr>
              <w:t>“</w:t>
            </w:r>
            <w:r>
              <w:rPr>
                <w:sz w:val="18"/>
                <w:szCs w:val="18"/>
              </w:rPr>
              <w:t>制造强省</w:t>
            </w:r>
            <w:r>
              <w:rPr>
                <w:rFonts w:hint="eastAsia"/>
                <w:sz w:val="18"/>
                <w:szCs w:val="18"/>
              </w:rPr>
              <w:t>”</w:t>
            </w:r>
            <w:r>
              <w:rPr>
                <w:sz w:val="18"/>
                <w:szCs w:val="18"/>
              </w:rPr>
              <w:t>战略</w:t>
            </w:r>
            <w:r>
              <w:rPr>
                <w:rFonts w:hint="eastAsia"/>
                <w:sz w:val="18"/>
                <w:szCs w:val="18"/>
              </w:rPr>
              <w:t>，围绕长沙打造国家智能制造中心总体要求，以及我区聚焦发展先进制造业的总体思路，</w:t>
            </w:r>
          </w:p>
          <w:p>
            <w:pPr>
              <w:spacing w:line="250" w:lineRule="exact"/>
              <w:rPr>
                <w:rFonts w:hint="eastAsia" w:hAnsi="华文仿宋"/>
                <w:sz w:val="18"/>
                <w:szCs w:val="18"/>
              </w:rPr>
            </w:pPr>
            <w:r>
              <w:rPr>
                <w:rFonts w:hAnsi="华文仿宋"/>
                <w:sz w:val="18"/>
                <w:szCs w:val="18"/>
              </w:rPr>
              <w:t>我局</w:t>
            </w:r>
            <w:r>
              <w:rPr>
                <w:rFonts w:hint="eastAsia" w:hAnsi="华文仿宋"/>
                <w:sz w:val="18"/>
                <w:szCs w:val="18"/>
              </w:rPr>
              <w:t>牵头在相关部门的支持下推进工业</w:t>
            </w:r>
            <w:r>
              <w:rPr>
                <w:rFonts w:hAnsi="华文仿宋"/>
                <w:sz w:val="18"/>
                <w:szCs w:val="18"/>
              </w:rPr>
              <w:t>奖补政策</w:t>
            </w:r>
          </w:p>
          <w:p>
            <w:pPr>
              <w:spacing w:line="250" w:lineRule="exact"/>
              <w:rPr>
                <w:rFonts w:asciiTheme="minorEastAsia" w:hAnsiTheme="minorEastAsia" w:eastAsiaTheme="minorEastAsia" w:cstheme="minorEastAsia"/>
                <w:color w:val="000000"/>
                <w:sz w:val="18"/>
                <w:szCs w:val="18"/>
              </w:rPr>
            </w:pPr>
            <w:r>
              <w:rPr>
                <w:rFonts w:hAnsi="华文仿宋"/>
                <w:sz w:val="18"/>
                <w:szCs w:val="18"/>
              </w:rPr>
              <w:t>修订工作</w:t>
            </w:r>
            <w:r>
              <w:rPr>
                <w:rFonts w:hint="eastAsia" w:asciiTheme="minorEastAsia" w:hAnsiTheme="minorEastAsia" w:eastAsiaTheme="minorEastAsia" w:cstheme="minorEastAsia"/>
                <w:color w:val="000000"/>
                <w:sz w:val="18"/>
                <w:szCs w:val="18"/>
              </w:rPr>
              <w:t>。</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hint="eastAsia" w:hAnsi="华文仿宋"/>
                <w:sz w:val="18"/>
                <w:szCs w:val="18"/>
              </w:rPr>
            </w:pPr>
            <w:r>
              <w:rPr>
                <w:rFonts w:hint="eastAsia" w:hAnsi="华文仿宋"/>
                <w:sz w:val="18"/>
                <w:szCs w:val="18"/>
              </w:rPr>
              <w:t>目前已出台《长沙市望城区推动制造业高质量发展的若干政策》，进一步</w:t>
            </w:r>
            <w:r>
              <w:rPr>
                <w:rFonts w:hint="eastAsia"/>
                <w:sz w:val="18"/>
                <w:szCs w:val="18"/>
              </w:rPr>
              <w:t>加大对先进制造业企业支持力度，全面</w:t>
            </w:r>
            <w:r>
              <w:rPr>
                <w:rFonts w:hint="eastAsia" w:hAnsi="华文仿宋"/>
                <w:sz w:val="18"/>
                <w:szCs w:val="18"/>
              </w:rPr>
              <w:t>支持企业智能化、信息化、高端化、创新化、绿色化、规模化和全球化发展，从产业现状和未来规划的角度，充分发挥政策的撬动性和奖补</w:t>
            </w:r>
          </w:p>
          <w:p>
            <w:pPr>
              <w:spacing w:line="250" w:lineRule="exact"/>
              <w:rPr>
                <w:rFonts w:asciiTheme="minorEastAsia" w:hAnsiTheme="minorEastAsia" w:eastAsiaTheme="minorEastAsia" w:cstheme="minorEastAsia"/>
                <w:color w:val="000000"/>
                <w:sz w:val="18"/>
                <w:szCs w:val="18"/>
              </w:rPr>
            </w:pPr>
            <w:r>
              <w:rPr>
                <w:rFonts w:hAnsi="华文仿宋"/>
                <w:sz w:val="18"/>
                <w:szCs w:val="18"/>
              </w:rPr>
              <w:t>资金</w:t>
            </w:r>
            <w:r>
              <w:rPr>
                <w:rFonts w:hint="eastAsia" w:hAnsi="华文仿宋"/>
                <w:sz w:val="18"/>
                <w:szCs w:val="18"/>
              </w:rPr>
              <w:t>的</w:t>
            </w:r>
            <w:r>
              <w:rPr>
                <w:rFonts w:hAnsi="华文仿宋"/>
                <w:sz w:val="18"/>
                <w:szCs w:val="18"/>
              </w:rPr>
              <w:t>效益性</w:t>
            </w:r>
            <w:r>
              <w:rPr>
                <w:rFonts w:hint="eastAsia" w:asciiTheme="minorEastAsia" w:hAnsiTheme="minorEastAsia" w:eastAsiaTheme="minorEastAsia" w:cstheme="minorEastAsia"/>
                <w:color w:val="00000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spacing w:line="240" w:lineRule="auto"/>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　5</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根据履职情况，结合绩效目标和项目性质，对重点工作计划完成、产出质量、产出时效和有关成本控制情况评价，实现70%以上得4分，70%以下不得分。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　6</w:t>
            </w:r>
            <w:bookmarkStart w:id="0" w:name="_GoBack"/>
            <w:bookmarkEnd w:id="0"/>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end"/>
            </w:r>
          </w:p>
        </w:tc>
      </w:tr>
    </w:tbl>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B85"/>
    <w:rsid w:val="005E3F8A"/>
    <w:rsid w:val="00AD0B85"/>
    <w:rsid w:val="1AF0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360</Words>
  <Characters>2053</Characters>
  <Lines>17</Lines>
  <Paragraphs>4</Paragraphs>
  <TotalTime>3</TotalTime>
  <ScaleCrop>false</ScaleCrop>
  <LinksUpToDate>false</LinksUpToDate>
  <CharactersWithSpaces>2409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2020-05-12T05:56:00Z</dcterms:created>
  <dc:creator>tttt3</dc:creator>
  <cp:lastModifiedBy>青々·林子♀</cp:lastModifiedBy>
  <dcterms:modified xsi:type="dcterms:W3CDTF">2021-05-11T01:47:31Z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EBCF4EA8F0CB491282343103D38A3440</vt:lpwstr>
  </property>
</Properties>
</file>