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2019年度长沙市望城区工业和信息化局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部门整体支出绩效评价报告</w:t>
      </w:r>
    </w:p>
    <w:p>
      <w:pPr>
        <w:rPr>
          <w:rFonts w:ascii="仿宋_GB2312" w:hAnsi="仿宋_GB2312" w:eastAsia="仿宋_GB2312" w:cs="仿宋_GB2312"/>
          <w:sz w:val="32"/>
          <w:szCs w:val="32"/>
        </w:rPr>
      </w:pP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bCs/>
          <w:sz w:val="32"/>
          <w:szCs w:val="32"/>
        </w:rPr>
        <w:t>一、部门基本情况</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（一）职能职责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1、贯彻执行党和国家有关经济工作的方针、政策和法律法规，参与全区经济发展目标的研究，制定全区工业经济发展规划和政策，并组织实施。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2、对企业进行宏观管理，指导企业的规划、统计、财务、会计、审计、扭亏增盈、质量管理、劳动保护、环境保护等工作；规范企业经营行为；组织和指导企业的科技进步和职工教育培训。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3、协调企业与有关部门的关系，为企业提供经济、技术、法律和信息服务；联系药品监督、邮政、电信、移动、联通、电力、交通、质量监督等单位工作。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4、负责指导企业的安全生产工作，配合有关部门及时查处重大安全事故。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5、负责全区信息化建设和国际互联网网站的统一规划管理。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6、指导下属单位望城区城镇集体工业联社及其所属企业的改制,处理区属工业企业改制遗留问题。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7、总结推广企业发展与改革的经验，引导企业建立现代企业制度；对企业进行综合考量并评优评奖；维护企业的合法权益，为企业营造良好的发展环境；推动非公有制经济的发展。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8、负责本系统依法行政、综合治理、普法和维稳工作。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9、组织和指导企业的思想政治工作，负责企业家队伍建设。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10、完成区委、区政府和上级主管部门交办的其他工作任务。</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局为财政全额拨款单位。区城镇集体联社、区企业服务中心（2019年3月成立）为局二级机构。局机关内设办公室、工业企业科、规划发展科、法制信息科、陶瓷产业科五个科室。局机关共有16个编制，其中：行政编制14个，工勤编制2个。2019年年末局机关实有在职人数17人，政府雇员1人，临聘人员9人，退休人员41人。</w:t>
      </w:r>
    </w:p>
    <w:p>
      <w:pPr>
        <w:ind w:firstLine="640" w:firstLineChars="200"/>
        <w:rPr>
          <w:rFonts w:ascii="黑体" w:hAnsi="黑体" w:eastAsia="黑体" w:cs="黑体"/>
          <w:sz w:val="32"/>
          <w:szCs w:val="32"/>
        </w:rPr>
      </w:pPr>
      <w:r>
        <w:rPr>
          <w:rFonts w:hint="eastAsia" w:ascii="黑体" w:hAnsi="黑体" w:eastAsia="黑体" w:cs="黑体"/>
          <w:sz w:val="32"/>
          <w:szCs w:val="32"/>
        </w:rPr>
        <w:t>二、单位预算管理及执行情况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2019年部门预算编制范围的二级预算单位包括:局机关及二级机构城镇集体联社。</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（一）部门收支总体情况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部门预算编报包括本级和所属单位预算在内的汇总情况。收入：一般公共预算收入。支出既包括保障机关及所属事业单位基本运行经费，也包括归口管理的改制企业和陶瓷总公司4050人员生活补助及留守人员工资；以及用于新型工业化协调经费、工业运行调度、工业信息化建设、工业信息发布、招商引资等专项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1.收入预算。2019年年初预算数为2229.9万，其中，一般公共预算拨款2229.9万元。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2.支出预算。2019年年初预算数为2229.9万元，其中，一般公共预算支出2229.9万元。支出较去年减少3594.1万元，主要是“十一大产业链”专项资金4000万元未纳入2019年本部门预算。</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（二）一般公共预算拨款支出预算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2019年一般公共预算拨款收入2229.9万元，具体安排情况如下：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基本支出：2019年年初预算数为838.9万元，是指为保障单位机构运转、完成日常工作任务而发生的各项支出，包括基本工资、津贴补贴等人员经费及办公费、印刷费、水电费、办公设备购置等日常公用经费。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2019年年初预算数为1391万元，是指单位为完成特定工作或事业发展目标而发生的支出，其中：关停企业留守处工作补助和留守工作人员企业内退人员补助专项327万元；铜官陶瓷公司4050人员生活费及留守处费用和留守人员工资、联社4050人员生活费、铸管厂精简退人员生活补助等方面专项364万元；专项成本预算450万元；工业运行调度、招商引资等日常专项200万元，主要用于新型工业化协调经费、工业运行调度、工业信息化建设、工业信息发布、招商引资等方面；移交办工作经费50万元，主要用于中央驻长企业、省属及市属企业的社会职能移交工作相关经费。</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三、单位资产管理情况</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（一）固定资产情况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固定资产账面原值4704325.72元，累计折旧3319101.88元，固定资产账面净值1385223.84元。其中：房屋及构筑物累计折旧2635372.12元，专用设备累计折旧6380元，通用设备累计折旧509063.06元，家具用具等累计折旧168286.7元。</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（二）具体管理情况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1.单位资产配置情况：2019年单位新增固定资产48978元。其中：专用设备一套，价值13999元；家具用具等42套，价值48978元。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2.资产使用</w:t>
      </w:r>
      <w:r>
        <w:rPr>
          <w:rFonts w:hint="eastAsia" w:ascii="仿宋_GB2312" w:hAnsi="仿宋_GB2312" w:eastAsia="仿宋_GB2312" w:cs="仿宋_GB2312"/>
          <w:sz w:val="32"/>
          <w:szCs w:val="32"/>
          <w:lang w:eastAsia="zh-CN"/>
        </w:rPr>
        <w:t>情</w:t>
      </w:r>
      <w:bookmarkStart w:id="0" w:name="_GoBack"/>
      <w:bookmarkEnd w:id="0"/>
      <w:r>
        <w:rPr>
          <w:rFonts w:hint="eastAsia" w:ascii="仿宋_GB2312" w:hAnsi="仿宋_GB2312" w:eastAsia="仿宋_GB2312" w:cs="仿宋_GB2312"/>
          <w:sz w:val="32"/>
          <w:szCs w:val="32"/>
        </w:rPr>
        <w:t>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出租出借：出租门面10间，2019年租金收入57336月，足额上缴非税。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对外投资：本单位无对外投资情况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资产处置：2019年无资产处置情况</w:t>
      </w:r>
    </w:p>
    <w:p>
      <w:pPr>
        <w:ind w:firstLine="640" w:firstLineChars="200"/>
        <w:rPr>
          <w:rFonts w:ascii="黑体" w:hAnsi="黑体" w:eastAsia="黑体" w:cs="黑体"/>
          <w:sz w:val="32"/>
          <w:szCs w:val="32"/>
        </w:rPr>
      </w:pPr>
      <w:r>
        <w:rPr>
          <w:rFonts w:hint="eastAsia" w:ascii="黑体" w:hAnsi="黑体" w:eastAsia="黑体" w:cs="黑体"/>
          <w:sz w:val="32"/>
          <w:szCs w:val="32"/>
        </w:rPr>
        <w:t>四、单位整体支出绩效目标及开展情况</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（一）常抓不懈，确保工业经济平稳发展。</w:t>
      </w:r>
      <w:r>
        <w:rPr>
          <w:rFonts w:hint="eastAsia" w:ascii="仿宋_GB2312" w:hAnsi="仿宋_GB2312" w:eastAsia="仿宋_GB2312" w:cs="仿宋_GB2312"/>
          <w:sz w:val="32"/>
          <w:szCs w:val="32"/>
        </w:rPr>
        <w:t>强化全区工业经济分析，认真研判运行态势，多数指标进入全市排名前列。1-12月全区规模工业产值完成895.08亿元，同比增长12.2%，实现规模工业增加值216.41亿元，同比增长11.3%，今年以来规模工业增加值增速均实现10%以上增长。1-11月全区工业用电同比增长28.39%，同比增速已连续十个月保持两位数增长，在长望浏宁中位均列第一，为近年来少有。2019年市下达我区新增入规企业40家、智能制造企业21家任务，全年已完成新增入规企业40家任务；已申报第六批智能制造试点企业26家，已通过审批25家，超额完成任务4家。</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（二）负重奋进，推动产业链项目实质进展。</w:t>
      </w:r>
      <w:r>
        <w:rPr>
          <w:rFonts w:hint="eastAsia" w:ascii="仿宋_GB2312" w:hAnsi="仿宋_GB2312" w:eastAsia="仿宋_GB2312" w:cs="仿宋_GB2312"/>
          <w:sz w:val="32"/>
          <w:szCs w:val="32"/>
        </w:rPr>
        <w:t>今年以来，全区7条产业链联链区领导率领其团队深入企业走访调研，科学分析、调度协调，开展精准招商洽谈150次，洽谈项目98个，累计新引进招商引资项目35个，按照投资额度分：过30亿元项目1个（长沙比亚迪电子智能制造产业园），20亿元项目1个，投资过亿项目7个。按产业链分：新一代半导体产业链11个、智能终端产业链8个、新型轻合金产业链7个、绿色食品产业链6个、先进硬质材料产业链2个、先进储能材料产业链1个。长沙智能终端产业园比亚迪电子、华为HUB仓集成物流、德赛电池望城智能制造产业园、湖南百菲乳业产业园、诊禾医疗产业化基地等一批重大项目引进投资建设。</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（三）全力以赴，促进营商环境全面优化。</w:t>
      </w:r>
      <w:r>
        <w:rPr>
          <w:rFonts w:hint="eastAsia" w:ascii="仿宋_GB2312" w:hAnsi="仿宋_GB2312" w:eastAsia="仿宋_GB2312" w:cs="仿宋_GB2312"/>
          <w:sz w:val="32"/>
          <w:szCs w:val="32"/>
        </w:rPr>
        <w:t>全面落实“营商环境优化年”“产业发展攻坚年”活动要求，一是积极创新企业服务举措，建立企业长效帮扶机制。开展“大走访、强服务”活动，走访企业274家，收集企业困难问题233个，采取梳理分类、集中交办、分类破解等方式一一销号，有效破解企业用地难、用工难、融资难等瓶颈问题。二是作为“实体经济降成本”工作牵头单位，确保减税降费到位，增强企业发展动力。组织开展民营和小微企业金融服务系列活动，承办2019第八届长沙金融服务节银企对接活动望城区专场，达成意向融资计划10个，意向融资5000万元；在全区推广货运车辆ETC安装使用工作，加快高速公路通行效率，根据企业园区出行需求优化调整公交线路。全面降低企业生产成本、用工成本、融资成本和物流成本。</w:t>
      </w:r>
    </w:p>
    <w:p>
      <w:pPr>
        <w:ind w:firstLine="640" w:firstLineChars="200"/>
        <w:rPr>
          <w:rFonts w:ascii="黑体" w:hAnsi="黑体" w:eastAsia="黑体" w:cs="黑体"/>
          <w:sz w:val="32"/>
          <w:szCs w:val="32"/>
        </w:rPr>
      </w:pPr>
      <w:r>
        <w:rPr>
          <w:rFonts w:hint="eastAsia" w:ascii="黑体" w:hAnsi="黑体" w:eastAsia="黑体" w:cs="黑体"/>
          <w:sz w:val="32"/>
          <w:szCs w:val="32"/>
        </w:rPr>
        <w:t>五、单位整体支出绩效实现情况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习近平总书记在推动中部地区崛起工作座谈会上的重要讲话精神，紧密结合湖南省“制造强省”战略，围绕长沙打造国家智能制造中心总体要求，以及我区聚焦发展先进制造业的总体思路，我局牵头在相关部门的支持下推进工业奖补政策修订工作。目前已出台《长沙市望城区推动制造业高质量发展的若干政策》，进一步加大对先进制造业企业支持力度，全面支持企业智能化、信息化、高端化、创新化、绿色化、规模化和全球化发展，从产业现状和未来规划的角度，充分发挥政策的撬动性和奖补资金的效益性。</w:t>
      </w:r>
    </w:p>
    <w:p>
      <w:pPr>
        <w:ind w:firstLine="640" w:firstLineChars="200"/>
        <w:rPr>
          <w:rFonts w:ascii="黑体" w:hAnsi="黑体" w:eastAsia="黑体" w:cs="黑体"/>
          <w:sz w:val="32"/>
          <w:szCs w:val="32"/>
        </w:rPr>
      </w:pPr>
      <w:r>
        <w:rPr>
          <w:rFonts w:hint="eastAsia" w:ascii="黑体" w:hAnsi="黑体" w:eastAsia="黑体" w:cs="黑体"/>
          <w:sz w:val="32"/>
          <w:szCs w:val="32"/>
        </w:rPr>
        <w:t>六、单位整体支出绩效中存在的问题及改进措施</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（一）主要问题及原因分析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预算编制工作有待细化。预算编制不够明确和细化，预算执行力度还要进一步加强。</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（二）改进的方向和具体措施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强化预算管理。加强预算法制化观念，结合往年实际及各种可控因素，科学拟定明确、细化、量化、可考核的年度绩效目标，严格执行预算安排，确保各项经费有章可循 。</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长沙市望城区工业和信息化局</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2020年9月1日</w:t>
      </w:r>
    </w:p>
    <w:p>
      <w:pPr>
        <w:rPr>
          <w:rFonts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M3YTlhMTkzNTU0OWNmMmJmNDEyMGYxMjBmZjY4ODUifQ=="/>
  </w:docVars>
  <w:rsids>
    <w:rsidRoot w:val="55E67A08"/>
    <w:rsid w:val="00017AEE"/>
    <w:rsid w:val="000759B9"/>
    <w:rsid w:val="002A4448"/>
    <w:rsid w:val="00320ABA"/>
    <w:rsid w:val="00342E9C"/>
    <w:rsid w:val="003C44B7"/>
    <w:rsid w:val="003E415A"/>
    <w:rsid w:val="003F3F5F"/>
    <w:rsid w:val="004757B8"/>
    <w:rsid w:val="004768DF"/>
    <w:rsid w:val="00591893"/>
    <w:rsid w:val="00605D71"/>
    <w:rsid w:val="006F73D5"/>
    <w:rsid w:val="00772FAD"/>
    <w:rsid w:val="0078342E"/>
    <w:rsid w:val="007B5827"/>
    <w:rsid w:val="007F7637"/>
    <w:rsid w:val="008504D4"/>
    <w:rsid w:val="008765F9"/>
    <w:rsid w:val="008D41B6"/>
    <w:rsid w:val="0093157D"/>
    <w:rsid w:val="0094770D"/>
    <w:rsid w:val="009521D3"/>
    <w:rsid w:val="009B6FD1"/>
    <w:rsid w:val="00A14CDC"/>
    <w:rsid w:val="00B04573"/>
    <w:rsid w:val="00B66617"/>
    <w:rsid w:val="00BB3D3F"/>
    <w:rsid w:val="00CB6F32"/>
    <w:rsid w:val="00CE0594"/>
    <w:rsid w:val="00CE5DFE"/>
    <w:rsid w:val="00D5526A"/>
    <w:rsid w:val="00E534EE"/>
    <w:rsid w:val="00EE2D6B"/>
    <w:rsid w:val="00F868C2"/>
    <w:rsid w:val="1DCF7155"/>
    <w:rsid w:val="55E67A08"/>
    <w:rsid w:val="60EF718B"/>
    <w:rsid w:val="65FA44F7"/>
    <w:rsid w:val="6FD93E69"/>
    <w:rsid w:val="7CCD6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7</Pages>
  <Words>2875</Words>
  <Characters>3120</Characters>
  <Lines>22</Lines>
  <Paragraphs>6</Paragraphs>
  <TotalTime>13</TotalTime>
  <ScaleCrop>false</ScaleCrop>
  <LinksUpToDate>false</LinksUpToDate>
  <CharactersWithSpaces>3185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2020-01-16T07:14:00Z</dcterms:created>
  <dc:creator>] . 释 然</dc:creator>
  <cp:lastModifiedBy>姣^o^</cp:lastModifiedBy>
  <dcterms:modified xsi:type="dcterms:W3CDTF">2022-09-30T07:43:18Z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83AE051E60EC45689EBA2837DA623801</vt:lpwstr>
  </property>
</Properties>
</file>