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64" w:rsidRPr="00186070" w:rsidRDefault="000E5564" w:rsidP="00186070">
      <w:pPr>
        <w:spacing w:line="500" w:lineRule="exact"/>
        <w:jc w:val="center"/>
        <w:rPr>
          <w:rFonts w:ascii="宋体" w:eastAsia="宋体" w:hAnsi="宋体" w:cs="方正小标宋简体"/>
          <w:b/>
          <w:sz w:val="44"/>
          <w:szCs w:val="44"/>
        </w:rPr>
      </w:pPr>
      <w:r w:rsidRPr="009A2A3A">
        <w:rPr>
          <w:rFonts w:ascii="宋体" w:eastAsia="宋体" w:hAnsi="宋体" w:cs="方正小标宋简体"/>
          <w:b/>
          <w:sz w:val="44"/>
          <w:szCs w:val="44"/>
        </w:rPr>
        <w:t>2019</w:t>
      </w:r>
      <w:r w:rsidRPr="009A2A3A">
        <w:rPr>
          <w:rFonts w:ascii="宋体" w:eastAsia="宋体" w:hAnsi="宋体" w:cs="方正小标宋简体" w:hint="eastAsia"/>
          <w:b/>
          <w:sz w:val="44"/>
          <w:szCs w:val="44"/>
        </w:rPr>
        <w:t>年度专项整体支出预算绩效自评报告</w:t>
      </w:r>
    </w:p>
    <w:p w:rsidR="000E5564" w:rsidRDefault="000E5564" w:rsidP="00876B6B">
      <w:pPr>
        <w:spacing w:line="500" w:lineRule="exact"/>
        <w:ind w:firstLineChars="200" w:firstLine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一、部门（单位）基本情况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1.</w:t>
      </w:r>
      <w:r>
        <w:rPr>
          <w:rFonts w:ascii="仿宋_GB2312" w:hAnsi="仿宋_GB2312" w:cs="仿宋_GB2312" w:hint="eastAsia"/>
          <w:sz w:val="32"/>
        </w:rPr>
        <w:t>机构设置：望城区教育局是主管全区教育事业的区人民政府工作机构，为全额拨款行政单位，内设办公室、教育督导室、人事科、财务科、普职教育科、学前教育科、监审法规室、综治安全科、教育工会、学生资助中心、规建科、文明办、党建办、派驻纪检组</w:t>
      </w:r>
      <w:r>
        <w:rPr>
          <w:rFonts w:ascii="仿宋_GB2312" w:hAnsi="仿宋_GB2312" w:cs="仿宋_GB2312"/>
          <w:sz w:val="32"/>
        </w:rPr>
        <w:t>14</w:t>
      </w:r>
      <w:r>
        <w:rPr>
          <w:rFonts w:ascii="仿宋_GB2312" w:hAnsi="仿宋_GB2312" w:cs="仿宋_GB2312" w:hint="eastAsia"/>
          <w:sz w:val="32"/>
        </w:rPr>
        <w:t>个科室，有挂靠机构招生办、青少年校外活动中心、大中专毕业生就业指导中心、教育信息中心，共有编制</w:t>
      </w:r>
      <w:r>
        <w:rPr>
          <w:rFonts w:ascii="仿宋_GB2312" w:hAnsi="仿宋_GB2312" w:cs="仿宋_GB2312"/>
          <w:sz w:val="32"/>
        </w:rPr>
        <w:t>49</w:t>
      </w:r>
      <w:r>
        <w:rPr>
          <w:rFonts w:ascii="仿宋_GB2312" w:hAnsi="仿宋_GB2312" w:cs="仿宋_GB2312" w:hint="eastAsia"/>
          <w:sz w:val="32"/>
        </w:rPr>
        <w:t>人，实际在岗在编</w:t>
      </w:r>
      <w:r>
        <w:rPr>
          <w:rFonts w:ascii="仿宋_GB2312" w:hAnsi="仿宋_GB2312" w:cs="仿宋_GB2312"/>
          <w:sz w:val="32"/>
        </w:rPr>
        <w:t>46</w:t>
      </w:r>
      <w:r>
        <w:rPr>
          <w:rFonts w:ascii="仿宋_GB2312" w:hAnsi="仿宋_GB2312" w:cs="仿宋_GB2312" w:hint="eastAsia"/>
          <w:sz w:val="32"/>
        </w:rPr>
        <w:t>人，临聘人员</w:t>
      </w:r>
      <w:r>
        <w:rPr>
          <w:rFonts w:ascii="仿宋_GB2312" w:hAnsi="仿宋_GB2312" w:cs="仿宋_GB2312"/>
          <w:sz w:val="32"/>
        </w:rPr>
        <w:t>1</w:t>
      </w:r>
      <w:r>
        <w:rPr>
          <w:rFonts w:ascii="仿宋_GB2312" w:hAnsi="仿宋_GB2312" w:cs="仿宋_GB2312" w:hint="eastAsia"/>
          <w:sz w:val="32"/>
        </w:rPr>
        <w:t>人，退休</w:t>
      </w:r>
      <w:r>
        <w:rPr>
          <w:rFonts w:ascii="仿宋_GB2312" w:hAnsi="仿宋_GB2312" w:cs="仿宋_GB2312"/>
          <w:sz w:val="32"/>
        </w:rPr>
        <w:t>29</w:t>
      </w:r>
      <w:r>
        <w:rPr>
          <w:rFonts w:ascii="仿宋_GB2312" w:hAnsi="仿宋_GB2312" w:cs="仿宋_GB2312" w:hint="eastAsia"/>
          <w:sz w:val="32"/>
        </w:rPr>
        <w:t>人。下辖</w:t>
      </w:r>
      <w:r>
        <w:rPr>
          <w:rFonts w:ascii="仿宋_GB2312" w:hAnsi="仿宋_GB2312" w:cs="仿宋_GB2312"/>
          <w:sz w:val="32"/>
        </w:rPr>
        <w:t>28</w:t>
      </w:r>
      <w:r>
        <w:rPr>
          <w:rFonts w:ascii="仿宋_GB2312" w:hAnsi="仿宋_GB2312" w:cs="仿宋_GB2312" w:hint="eastAsia"/>
          <w:sz w:val="32"/>
        </w:rPr>
        <w:t>个预算单位，分别为：中小学教师发展中心、教育保障服务中心、</w:t>
      </w:r>
      <w:r>
        <w:rPr>
          <w:rFonts w:ascii="仿宋_GB2312" w:hAnsi="仿宋_GB2312" w:cs="仿宋_GB2312"/>
          <w:sz w:val="32"/>
        </w:rPr>
        <w:t>11</w:t>
      </w:r>
      <w:r>
        <w:rPr>
          <w:rFonts w:ascii="仿宋_GB2312" w:hAnsi="仿宋_GB2312" w:cs="仿宋_GB2312" w:hint="eastAsia"/>
          <w:sz w:val="32"/>
        </w:rPr>
        <w:t>个学区校、</w:t>
      </w:r>
      <w:r>
        <w:rPr>
          <w:rFonts w:ascii="仿宋_GB2312" w:hAnsi="仿宋_GB2312" w:cs="仿宋_GB2312"/>
          <w:sz w:val="32"/>
        </w:rPr>
        <w:t>15</w:t>
      </w:r>
      <w:r>
        <w:rPr>
          <w:rFonts w:ascii="仿宋_GB2312" w:hAnsi="仿宋_GB2312" w:cs="仿宋_GB2312" w:hint="eastAsia"/>
          <w:sz w:val="32"/>
        </w:rPr>
        <w:t>个区属学校。有中小学校</w:t>
      </w:r>
      <w:r>
        <w:rPr>
          <w:rFonts w:ascii="仿宋_GB2312" w:hAnsi="仿宋_GB2312" w:cs="仿宋_GB2312"/>
          <w:sz w:val="32"/>
        </w:rPr>
        <w:t>108</w:t>
      </w:r>
      <w:r>
        <w:rPr>
          <w:rFonts w:ascii="仿宋_GB2312" w:hAnsi="仿宋_GB2312" w:cs="仿宋_GB2312" w:hint="eastAsia"/>
          <w:sz w:val="32"/>
        </w:rPr>
        <w:t>所，在校中小学生</w:t>
      </w:r>
      <w:r>
        <w:rPr>
          <w:rFonts w:ascii="仿宋_GB2312" w:hAnsi="仿宋_GB2312" w:cs="仿宋_GB2312"/>
          <w:sz w:val="32"/>
        </w:rPr>
        <w:t>79487</w:t>
      </w:r>
      <w:r>
        <w:rPr>
          <w:rFonts w:ascii="仿宋_GB2312" w:hAnsi="仿宋_GB2312" w:cs="仿宋_GB2312" w:hint="eastAsia"/>
          <w:sz w:val="32"/>
        </w:rPr>
        <w:t>人，在职中小学教师</w:t>
      </w:r>
      <w:r>
        <w:rPr>
          <w:rFonts w:ascii="仿宋_GB2312" w:hAnsi="仿宋_GB2312" w:cs="仿宋_GB2312"/>
          <w:sz w:val="32"/>
        </w:rPr>
        <w:t>5908</w:t>
      </w:r>
      <w:r>
        <w:rPr>
          <w:rFonts w:ascii="仿宋_GB2312" w:hAnsi="仿宋_GB2312" w:cs="仿宋_GB2312" w:hint="eastAsia"/>
          <w:sz w:val="32"/>
        </w:rPr>
        <w:t>人。有幼儿园</w:t>
      </w:r>
      <w:r>
        <w:rPr>
          <w:rFonts w:ascii="仿宋_GB2312" w:hAnsi="仿宋_GB2312" w:cs="仿宋_GB2312"/>
          <w:sz w:val="32"/>
        </w:rPr>
        <w:t>184</w:t>
      </w:r>
      <w:r>
        <w:rPr>
          <w:rFonts w:ascii="仿宋_GB2312" w:hAnsi="仿宋_GB2312" w:cs="仿宋_GB2312" w:hint="eastAsia"/>
          <w:sz w:val="32"/>
        </w:rPr>
        <w:t>所（公办园</w:t>
      </w:r>
      <w:r>
        <w:rPr>
          <w:rFonts w:ascii="仿宋_GB2312" w:hAnsi="仿宋_GB2312" w:cs="仿宋_GB2312"/>
          <w:sz w:val="32"/>
        </w:rPr>
        <w:t>36</w:t>
      </w:r>
      <w:r>
        <w:rPr>
          <w:rFonts w:ascii="仿宋_GB2312" w:hAnsi="仿宋_GB2312" w:cs="仿宋_GB2312" w:hint="eastAsia"/>
          <w:sz w:val="32"/>
        </w:rPr>
        <w:t>所，民办园</w:t>
      </w:r>
      <w:r>
        <w:rPr>
          <w:rFonts w:ascii="仿宋_GB2312" w:hAnsi="仿宋_GB2312" w:cs="仿宋_GB2312"/>
          <w:sz w:val="32"/>
        </w:rPr>
        <w:t>148</w:t>
      </w:r>
      <w:r>
        <w:rPr>
          <w:rFonts w:ascii="仿宋_GB2312" w:hAnsi="仿宋_GB2312" w:cs="仿宋_GB2312" w:hint="eastAsia"/>
          <w:sz w:val="32"/>
        </w:rPr>
        <w:t>所），在园幼儿</w:t>
      </w:r>
      <w:r>
        <w:rPr>
          <w:rFonts w:ascii="仿宋_GB2312" w:hAnsi="仿宋_GB2312" w:cs="仿宋_GB2312"/>
          <w:sz w:val="32"/>
        </w:rPr>
        <w:t>31355</w:t>
      </w:r>
      <w:r>
        <w:rPr>
          <w:rFonts w:ascii="仿宋_GB2312" w:hAnsi="仿宋_GB2312" w:cs="仿宋_GB2312" w:hint="eastAsia"/>
          <w:sz w:val="32"/>
        </w:rPr>
        <w:t>人，在职教职工</w:t>
      </w:r>
      <w:r>
        <w:rPr>
          <w:rFonts w:ascii="仿宋_GB2312" w:hAnsi="仿宋_GB2312" w:cs="仿宋_GB2312"/>
          <w:sz w:val="32"/>
        </w:rPr>
        <w:t>4328</w:t>
      </w:r>
      <w:r>
        <w:rPr>
          <w:rFonts w:ascii="仿宋_GB2312" w:hAnsi="仿宋_GB2312" w:cs="仿宋_GB2312" w:hint="eastAsia"/>
          <w:sz w:val="32"/>
        </w:rPr>
        <w:t>人。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2.</w:t>
      </w:r>
      <w:r>
        <w:rPr>
          <w:rFonts w:ascii="仿宋_GB2312" w:hAnsi="仿宋_GB2312" w:cs="仿宋_GB2312" w:hint="eastAsia"/>
          <w:sz w:val="32"/>
        </w:rPr>
        <w:t>职能职责：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1</w:t>
      </w:r>
      <w:r>
        <w:rPr>
          <w:rFonts w:ascii="仿宋_GB2312" w:hAnsi="仿宋_GB2312" w:cs="仿宋_GB2312" w:hint="eastAsia"/>
          <w:sz w:val="32"/>
        </w:rPr>
        <w:t>）贯彻落实党和国家的教育方针、政策和法律法规，研究提出全区教育改革与发展战略和教育事业发展规划，拟定教育改革的政策以及教育发展的重点、结构、速度，指导并协调实施工作。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2</w:t>
      </w:r>
      <w:r>
        <w:rPr>
          <w:rFonts w:ascii="仿宋_GB2312" w:hAnsi="仿宋_GB2312" w:cs="仿宋_GB2312" w:hint="eastAsia"/>
          <w:sz w:val="32"/>
        </w:rPr>
        <w:t>）综合管理全区幼儿教育、小学教育、中学教育、职业技术教育和成人教育工作。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3</w:t>
      </w:r>
      <w:r>
        <w:rPr>
          <w:rFonts w:ascii="仿宋_GB2312" w:hAnsi="仿宋_GB2312" w:cs="仿宋_GB2312" w:hint="eastAsia"/>
          <w:sz w:val="32"/>
        </w:rPr>
        <w:t>）监察督促中小学教育计划、课程标准的执行，组织全区的教育科研活动，促进素质教育的提高。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4</w:t>
      </w:r>
      <w:r>
        <w:rPr>
          <w:rFonts w:ascii="仿宋_GB2312" w:hAnsi="仿宋_GB2312" w:cs="仿宋_GB2312" w:hint="eastAsia"/>
          <w:sz w:val="32"/>
        </w:rPr>
        <w:t>）负责管理各类学校的师资队伍、教材、仪器设备和校舍建设。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5</w:t>
      </w:r>
      <w:r>
        <w:rPr>
          <w:rFonts w:ascii="仿宋_GB2312" w:hAnsi="仿宋_GB2312" w:cs="仿宋_GB2312" w:hint="eastAsia"/>
          <w:sz w:val="32"/>
        </w:rPr>
        <w:t>）配合有关部门，负责全区教育经费的预算和基层单位财务管理、审计监督等工作。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6</w:t>
      </w:r>
      <w:r>
        <w:rPr>
          <w:rFonts w:ascii="仿宋_GB2312" w:hAnsi="仿宋_GB2312" w:cs="仿宋_GB2312" w:hint="eastAsia"/>
          <w:sz w:val="32"/>
        </w:rPr>
        <w:t>）负责组织指导全区各级各类学校的招生、自考工作，毕业研究生、大、中专毕业生推荐就业指导工作。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7</w:t>
      </w:r>
      <w:r>
        <w:rPr>
          <w:rFonts w:ascii="仿宋_GB2312" w:hAnsi="仿宋_GB2312" w:cs="仿宋_GB2312" w:hint="eastAsia"/>
          <w:sz w:val="32"/>
        </w:rPr>
        <w:t>）负责教职工教育管理及教职工培训、考核、发证工作。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8</w:t>
      </w:r>
      <w:r>
        <w:rPr>
          <w:rFonts w:ascii="仿宋_GB2312" w:hAnsi="仿宋_GB2312" w:cs="仿宋_GB2312" w:hint="eastAsia"/>
          <w:sz w:val="32"/>
        </w:rPr>
        <w:t>）负责学校后勤、食品卫生、安全工作管理。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9</w:t>
      </w:r>
      <w:r>
        <w:rPr>
          <w:rFonts w:ascii="仿宋_GB2312" w:hAnsi="仿宋_GB2312" w:cs="仿宋_GB2312" w:hint="eastAsia"/>
          <w:sz w:val="32"/>
        </w:rPr>
        <w:t>）负责学生资助管理中心和校车管理办公室工作。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10)</w:t>
      </w:r>
      <w:r>
        <w:rPr>
          <w:rFonts w:ascii="仿宋_GB2312" w:hAnsi="仿宋_GB2312" w:cs="仿宋_GB2312" w:hint="eastAsia"/>
          <w:sz w:val="32"/>
        </w:rPr>
        <w:t>完成区委政府和上级主管部门交办的其他工作任务。</w:t>
      </w:r>
    </w:p>
    <w:p w:rsidR="000E5564" w:rsidRDefault="000E5564" w:rsidP="00876B6B">
      <w:pPr>
        <w:snapToGrid w:val="0"/>
        <w:spacing w:line="52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/>
        </w:rPr>
        <w:t>3</w:t>
      </w:r>
      <w:r>
        <w:rPr>
          <w:rFonts w:hAnsi="仿宋_GB2312" w:cs="仿宋_GB2312" w:hint="eastAsia"/>
        </w:rPr>
        <w:t>．人员情况，包括当年变动情况及原因。</w:t>
      </w:r>
    </w:p>
    <w:tbl>
      <w:tblPr>
        <w:tblW w:w="8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4"/>
        <w:gridCol w:w="2049"/>
        <w:gridCol w:w="828"/>
        <w:gridCol w:w="732"/>
        <w:gridCol w:w="816"/>
        <w:gridCol w:w="768"/>
        <w:gridCol w:w="840"/>
        <w:gridCol w:w="792"/>
        <w:gridCol w:w="912"/>
      </w:tblGrid>
      <w:tr w:rsidR="000E5564">
        <w:trPr>
          <w:trHeight w:val="446"/>
        </w:trPr>
        <w:tc>
          <w:tcPr>
            <w:tcW w:w="8311" w:type="dxa"/>
            <w:gridSpan w:val="9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5564" w:rsidRPr="009A2A3A" w:rsidRDefault="000E5564" w:rsidP="009A2A3A">
            <w:pPr>
              <w:spacing w:line="24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sz w:val="21"/>
                <w:szCs w:val="21"/>
              </w:rPr>
              <w:t>人员增减变动分析表</w:t>
            </w:r>
          </w:p>
        </w:tc>
      </w:tr>
      <w:tr w:rsidR="000E5564" w:rsidTr="008F6E59">
        <w:trPr>
          <w:trHeight w:val="420"/>
        </w:trPr>
        <w:tc>
          <w:tcPr>
            <w:tcW w:w="574" w:type="dxa"/>
            <w:vMerge w:val="restart"/>
            <w:tcBorders>
              <w:left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行次</w:t>
            </w:r>
          </w:p>
        </w:tc>
        <w:tc>
          <w:tcPr>
            <w:tcW w:w="2049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688" w:type="dxa"/>
            <w:gridSpan w:val="7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年末实有人数</w:t>
            </w:r>
          </w:p>
        </w:tc>
      </w:tr>
      <w:tr w:rsidR="000E5564" w:rsidTr="008F6E59">
        <w:trPr>
          <w:trHeight w:val="360"/>
        </w:trPr>
        <w:tc>
          <w:tcPr>
            <w:tcW w:w="574" w:type="dxa"/>
            <w:vMerge/>
            <w:tcBorders>
              <w:left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2049" w:type="dxa"/>
            <w:vMerge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小计</w:t>
            </w:r>
          </w:p>
        </w:tc>
        <w:tc>
          <w:tcPr>
            <w:tcW w:w="732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比上年增减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4128" w:type="dxa"/>
            <w:gridSpan w:val="5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其中：</w:t>
            </w:r>
          </w:p>
        </w:tc>
      </w:tr>
      <w:tr w:rsidR="000E5564" w:rsidTr="008F6E59">
        <w:trPr>
          <w:trHeight w:val="624"/>
        </w:trPr>
        <w:tc>
          <w:tcPr>
            <w:tcW w:w="574" w:type="dxa"/>
            <w:vMerge/>
            <w:tcBorders>
              <w:left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2049" w:type="dxa"/>
            <w:vMerge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28" w:type="dxa"/>
            <w:vMerge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732" w:type="dxa"/>
            <w:vMerge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在职人员</w:t>
            </w:r>
          </w:p>
        </w:tc>
        <w:tc>
          <w:tcPr>
            <w:tcW w:w="768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比上年增减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840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离退休人员</w:t>
            </w:r>
          </w:p>
        </w:tc>
        <w:tc>
          <w:tcPr>
            <w:tcW w:w="792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比上年增减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912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离退休人员占比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%</w:t>
            </w:r>
          </w:p>
        </w:tc>
      </w:tr>
      <w:tr w:rsidR="000E5564" w:rsidTr="008F6E59">
        <w:trPr>
          <w:trHeight w:val="469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</w:tr>
      <w:tr w:rsidR="000E5564">
        <w:trPr>
          <w:trHeight w:val="235"/>
        </w:trPr>
        <w:tc>
          <w:tcPr>
            <w:tcW w:w="2623" w:type="dxa"/>
            <w:gridSpan w:val="2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栏次</w:t>
            </w:r>
          </w:p>
        </w:tc>
        <w:tc>
          <w:tcPr>
            <w:tcW w:w="828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32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816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768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792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7</w:t>
            </w:r>
          </w:p>
        </w:tc>
      </w:tr>
      <w:tr w:rsidR="000E5564">
        <w:trPr>
          <w:trHeight w:val="320"/>
        </w:trPr>
        <w:tc>
          <w:tcPr>
            <w:tcW w:w="574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049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长沙市望城区教育局</w:t>
            </w:r>
          </w:p>
        </w:tc>
        <w:tc>
          <w:tcPr>
            <w:tcW w:w="828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4,045</w:t>
            </w:r>
          </w:p>
        </w:tc>
        <w:tc>
          <w:tcPr>
            <w:tcW w:w="732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13.34</w:t>
            </w:r>
          </w:p>
        </w:tc>
        <w:tc>
          <w:tcPr>
            <w:tcW w:w="816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3,804</w:t>
            </w:r>
          </w:p>
        </w:tc>
        <w:tc>
          <w:tcPr>
            <w:tcW w:w="768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6.58</w:t>
            </w:r>
          </w:p>
        </w:tc>
        <w:tc>
          <w:tcPr>
            <w:tcW w:w="840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241</w:t>
            </w:r>
          </w:p>
        </w:tc>
        <w:tc>
          <w:tcPr>
            <w:tcW w:w="792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0.00</w:t>
            </w:r>
          </w:p>
        </w:tc>
        <w:tc>
          <w:tcPr>
            <w:tcW w:w="912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5.96</w:t>
            </w:r>
          </w:p>
        </w:tc>
      </w:tr>
      <w:tr w:rsidR="000E5564">
        <w:trPr>
          <w:trHeight w:val="264"/>
        </w:trPr>
        <w:tc>
          <w:tcPr>
            <w:tcW w:w="574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2049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28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732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768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792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912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</w:tr>
      <w:tr w:rsidR="000E5564">
        <w:trPr>
          <w:trHeight w:val="288"/>
        </w:trPr>
        <w:tc>
          <w:tcPr>
            <w:tcW w:w="6607" w:type="dxa"/>
            <w:gridSpan w:val="7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年末一般公共预算财政拨款开支人数</w:t>
            </w:r>
          </w:p>
        </w:tc>
        <w:tc>
          <w:tcPr>
            <w:tcW w:w="1704" w:type="dxa"/>
            <w:gridSpan w:val="2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其他人员</w:t>
            </w:r>
          </w:p>
        </w:tc>
      </w:tr>
      <w:tr w:rsidR="000E5564">
        <w:trPr>
          <w:trHeight w:val="288"/>
        </w:trPr>
        <w:tc>
          <w:tcPr>
            <w:tcW w:w="574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计</w:t>
            </w:r>
          </w:p>
        </w:tc>
        <w:tc>
          <w:tcPr>
            <w:tcW w:w="2049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比上年增减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3984" w:type="dxa"/>
            <w:gridSpan w:val="5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其中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:</w:t>
            </w:r>
          </w:p>
        </w:tc>
        <w:tc>
          <w:tcPr>
            <w:tcW w:w="792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小计</w:t>
            </w:r>
          </w:p>
        </w:tc>
        <w:tc>
          <w:tcPr>
            <w:tcW w:w="912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比上年增减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%</w:t>
            </w:r>
          </w:p>
        </w:tc>
      </w:tr>
      <w:tr w:rsidR="000E5564">
        <w:trPr>
          <w:trHeight w:val="624"/>
        </w:trPr>
        <w:tc>
          <w:tcPr>
            <w:tcW w:w="574" w:type="dxa"/>
            <w:vMerge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2049" w:type="dxa"/>
            <w:vMerge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在职人员</w:t>
            </w:r>
          </w:p>
        </w:tc>
        <w:tc>
          <w:tcPr>
            <w:tcW w:w="732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比上年增减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816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离退休人员</w:t>
            </w:r>
          </w:p>
        </w:tc>
        <w:tc>
          <w:tcPr>
            <w:tcW w:w="768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比上年增减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840" w:type="dxa"/>
            <w:vMerge w:val="restart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离退休人员占比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792" w:type="dxa"/>
            <w:vMerge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912" w:type="dxa"/>
            <w:vMerge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</w:tr>
      <w:tr w:rsidR="000E5564" w:rsidTr="008F6E59">
        <w:trPr>
          <w:trHeight w:val="452"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</w:tr>
      <w:tr w:rsidR="000E5564">
        <w:trPr>
          <w:trHeight w:val="400"/>
        </w:trPr>
        <w:tc>
          <w:tcPr>
            <w:tcW w:w="574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2049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828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732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816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768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14</w:t>
            </w:r>
          </w:p>
        </w:tc>
        <w:tc>
          <w:tcPr>
            <w:tcW w:w="792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912" w:type="dxa"/>
            <w:shd w:val="clear" w:color="FFFFFF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16</w:t>
            </w:r>
          </w:p>
        </w:tc>
      </w:tr>
      <w:tr w:rsidR="000E5564">
        <w:trPr>
          <w:trHeight w:val="360"/>
        </w:trPr>
        <w:tc>
          <w:tcPr>
            <w:tcW w:w="574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3,922</w:t>
            </w:r>
          </w:p>
        </w:tc>
        <w:tc>
          <w:tcPr>
            <w:tcW w:w="2049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11.99</w:t>
            </w:r>
          </w:p>
        </w:tc>
        <w:tc>
          <w:tcPr>
            <w:tcW w:w="828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3,681</w:t>
            </w:r>
          </w:p>
        </w:tc>
        <w:tc>
          <w:tcPr>
            <w:tcW w:w="732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5.11</w:t>
            </w:r>
          </w:p>
        </w:tc>
        <w:tc>
          <w:tcPr>
            <w:tcW w:w="816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241</w:t>
            </w:r>
          </w:p>
        </w:tc>
        <w:tc>
          <w:tcPr>
            <w:tcW w:w="768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0.00</w:t>
            </w:r>
          </w:p>
        </w:tc>
        <w:tc>
          <w:tcPr>
            <w:tcW w:w="840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6.14</w:t>
            </w:r>
          </w:p>
        </w:tc>
        <w:tc>
          <w:tcPr>
            <w:tcW w:w="792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940</w:t>
            </w:r>
          </w:p>
        </w:tc>
        <w:tc>
          <w:tcPr>
            <w:tcW w:w="912" w:type="dxa"/>
            <w:shd w:val="clear" w:color="FFFFFF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279.03</w:t>
            </w:r>
          </w:p>
        </w:tc>
      </w:tr>
    </w:tbl>
    <w:p w:rsidR="000E5564" w:rsidRDefault="000E5564" w:rsidP="000E5564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 w:hint="eastAsia"/>
        </w:rPr>
        <w:t>学生净增</w:t>
      </w:r>
      <w:r>
        <w:rPr>
          <w:rFonts w:hAnsi="仿宋_GB2312" w:cs="仿宋_GB2312"/>
        </w:rPr>
        <w:t>7400</w:t>
      </w:r>
      <w:r>
        <w:rPr>
          <w:rFonts w:hAnsi="仿宋_GB2312" w:cs="仿宋_GB2312" w:hint="eastAsia"/>
        </w:rPr>
        <w:t>多人致教师人数增加。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ascii="黑体" w:eastAsia="黑体" w:hAnsi="黑体" w:cs="黑体" w:hint="eastAsia"/>
        </w:rPr>
        <w:t>二、部门（单位）预算管理及执行情况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kern w:val="2"/>
          <w:sz w:val="32"/>
        </w:rPr>
      </w:pPr>
      <w:r>
        <w:rPr>
          <w:rFonts w:ascii="仿宋_GB2312" w:hAnsi="仿宋_GB2312" w:cs="仿宋_GB2312"/>
          <w:kern w:val="2"/>
          <w:sz w:val="32"/>
        </w:rPr>
        <w:t>1.</w:t>
      </w:r>
      <w:r>
        <w:rPr>
          <w:rFonts w:ascii="仿宋_GB2312" w:hAnsi="仿宋_GB2312" w:cs="仿宋_GB2312" w:hint="eastAsia"/>
          <w:kern w:val="2"/>
          <w:sz w:val="32"/>
        </w:rPr>
        <w:t>部门（单位）预算管理情况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kern w:val="2"/>
          <w:sz w:val="32"/>
        </w:rPr>
      </w:pPr>
      <w:r>
        <w:rPr>
          <w:rFonts w:ascii="仿宋_GB2312" w:hAnsi="仿宋_GB2312" w:cs="仿宋_GB2312" w:hint="eastAsia"/>
          <w:kern w:val="2"/>
          <w:sz w:val="32"/>
        </w:rPr>
        <w:t>一是科学完整编制收入预算。对上年及今年预算执行情况进行认真分析，充分考虑预算年度经济性、政策性和管理性因素对收入增减变化的影响，科学编报本年财政收入预算。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 w:hint="eastAsia"/>
        </w:rPr>
        <w:t>二是精细编制基本支出预算。教育系统</w:t>
      </w:r>
      <w:r>
        <w:rPr>
          <w:rFonts w:hAnsi="仿宋_GB2312" w:cs="仿宋_GB2312"/>
        </w:rPr>
        <w:t>29</w:t>
      </w:r>
      <w:r>
        <w:rPr>
          <w:rFonts w:hAnsi="仿宋_GB2312" w:cs="仿宋_GB2312" w:hint="eastAsia"/>
        </w:rPr>
        <w:t>个预算单位（含教育局本级）全部安照定员定额进行算编制，覆盖率达</w:t>
      </w:r>
      <w:r>
        <w:rPr>
          <w:rFonts w:hAnsi="仿宋_GB2312" w:cs="仿宋_GB2312"/>
        </w:rPr>
        <w:t>100</w:t>
      </w:r>
      <w:r>
        <w:rPr>
          <w:rFonts w:hAnsi="仿宋_GB2312" w:cs="仿宋_GB2312" w:hint="eastAsia"/>
        </w:rPr>
        <w:t>％，充分利用工资统发系统平台优势，按照基本工资、津贴补贴、社会保险、奖金、职业年金、住房公积金、绩效工资等明细项目准确编制人员经费。公用经费继续实行分类分档定额管理，全额预算单位由区财政全额安排；义务教育学校按规定的生均公用经费标准计算；区属高中在高中学校公用经费补助中统筹安排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kern w:val="2"/>
          <w:sz w:val="32"/>
        </w:rPr>
      </w:pPr>
      <w:r>
        <w:rPr>
          <w:rFonts w:ascii="仿宋_GB2312" w:hAnsi="仿宋_GB2312" w:cs="仿宋_GB2312" w:hint="eastAsia"/>
          <w:kern w:val="2"/>
          <w:sz w:val="32"/>
        </w:rPr>
        <w:t>三是合理编制项目支出预算。我区专项预算分为部门专项预算和公共专项预算两大类。预算单位根据本部门的职能性质，结合区委、区政府和上级部门工作部署重点要求，申报具体的项目、目标和实施计划，并进行严格的可行性研究和评审，按照轻重缓急合理排序，确保预算分配的一次性到位率和预算执行率。</w:t>
      </w:r>
    </w:p>
    <w:p w:rsidR="000E5564" w:rsidRDefault="000E5564" w:rsidP="00876B6B">
      <w:pPr>
        <w:pStyle w:val="NormalWeb"/>
        <w:spacing w:line="500" w:lineRule="exact"/>
        <w:ind w:firstLineChars="200" w:firstLine="31680"/>
        <w:jc w:val="both"/>
        <w:textAlignment w:val="center"/>
        <w:rPr>
          <w:rFonts w:ascii="仿宋_GB2312" w:cs="仿宋_GB2312"/>
          <w:kern w:val="2"/>
          <w:sz w:val="32"/>
        </w:rPr>
      </w:pPr>
      <w:r>
        <w:rPr>
          <w:rFonts w:ascii="仿宋_GB2312" w:hAnsi="仿宋_GB2312" w:cs="仿宋_GB2312"/>
          <w:kern w:val="2"/>
          <w:sz w:val="32"/>
        </w:rPr>
        <w:t>2.</w:t>
      </w:r>
      <w:r>
        <w:rPr>
          <w:rFonts w:ascii="仿宋_GB2312" w:hAnsi="仿宋_GB2312" w:cs="仿宋_GB2312" w:hint="eastAsia"/>
          <w:kern w:val="2"/>
          <w:sz w:val="32"/>
        </w:rPr>
        <w:t>部门（单位）预算执行情况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/>
        </w:rPr>
        <w:t>2019</w:t>
      </w:r>
      <w:r>
        <w:rPr>
          <w:rFonts w:hAnsi="仿宋_GB2312" w:cs="仿宋_GB2312" w:hint="eastAsia"/>
        </w:rPr>
        <w:t>年一般公共预算安排的教育经费</w:t>
      </w:r>
      <w:r>
        <w:rPr>
          <w:rFonts w:hAnsi="仿宋_GB2312" w:cs="仿宋_GB2312"/>
          <w:u w:val="single"/>
        </w:rPr>
        <w:t>150379</w:t>
      </w:r>
      <w:r>
        <w:rPr>
          <w:rFonts w:hAnsi="仿宋_GB2312" w:cs="仿宋_GB2312" w:hint="eastAsia"/>
        </w:rPr>
        <w:t>万元。其中教育事业费</w:t>
      </w:r>
      <w:r>
        <w:rPr>
          <w:rFonts w:hAnsi="仿宋_GB2312" w:cs="仿宋_GB2312"/>
          <w:u w:val="single"/>
        </w:rPr>
        <w:t>115808</w:t>
      </w:r>
      <w:r>
        <w:rPr>
          <w:rFonts w:hAnsi="仿宋_GB2312" w:cs="仿宋_GB2312" w:hint="eastAsia"/>
        </w:rPr>
        <w:t>万元；基本建设经费</w:t>
      </w:r>
      <w:r>
        <w:rPr>
          <w:rFonts w:hAnsi="仿宋_GB2312" w:cs="仿宋_GB2312"/>
          <w:u w:val="single"/>
        </w:rPr>
        <w:t>0</w:t>
      </w:r>
      <w:r>
        <w:rPr>
          <w:rFonts w:hAnsi="仿宋_GB2312" w:cs="仿宋_GB2312" w:hint="eastAsia"/>
        </w:rPr>
        <w:t>万元；教育费附加</w:t>
      </w:r>
      <w:r>
        <w:rPr>
          <w:rFonts w:hAnsi="仿宋_GB2312" w:cs="仿宋_GB2312"/>
          <w:u w:val="single"/>
        </w:rPr>
        <w:t xml:space="preserve"> 12241</w:t>
      </w:r>
      <w:r>
        <w:rPr>
          <w:rFonts w:hAnsi="仿宋_GB2312" w:cs="仿宋_GB2312" w:hint="eastAsia"/>
        </w:rPr>
        <w:t>万元；其他一般公共预算安排的教育经费</w:t>
      </w:r>
      <w:r>
        <w:rPr>
          <w:rFonts w:hAnsi="仿宋_GB2312" w:cs="仿宋_GB2312"/>
          <w:u w:val="single"/>
        </w:rPr>
        <w:t>22330</w:t>
      </w:r>
      <w:r>
        <w:rPr>
          <w:rFonts w:hAnsi="仿宋_GB2312" w:cs="仿宋_GB2312" w:hint="eastAsia"/>
        </w:rPr>
        <w:t>万元。政府性基金预算安排的教育经费</w:t>
      </w:r>
      <w:r>
        <w:rPr>
          <w:rFonts w:hAnsi="仿宋_GB2312" w:cs="仿宋_GB2312"/>
          <w:u w:val="single"/>
        </w:rPr>
        <w:t>0</w:t>
      </w:r>
      <w:r>
        <w:rPr>
          <w:rFonts w:hAnsi="仿宋_GB2312" w:cs="仿宋_GB2312" w:hint="eastAsia"/>
        </w:rPr>
        <w:t>万元；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/>
        </w:rPr>
        <w:t>2019</w:t>
      </w:r>
      <w:r>
        <w:rPr>
          <w:rFonts w:hAnsi="仿宋_GB2312" w:cs="仿宋_GB2312" w:hint="eastAsia"/>
        </w:rPr>
        <w:t>年教育部门财政性教育经费投入</w:t>
      </w:r>
      <w:r>
        <w:rPr>
          <w:rFonts w:hAnsi="仿宋_GB2312" w:cs="仿宋_GB2312"/>
          <w:u w:val="single"/>
        </w:rPr>
        <w:t>186709</w:t>
      </w:r>
      <w:r>
        <w:rPr>
          <w:rFonts w:hAnsi="仿宋_GB2312" w:cs="仿宋_GB2312" w:hint="eastAsia"/>
        </w:rPr>
        <w:t>万元。其中，一般公共预算安排的教育经费支出</w:t>
      </w:r>
      <w:r>
        <w:rPr>
          <w:rFonts w:hAnsi="仿宋_GB2312" w:cs="仿宋_GB2312"/>
          <w:u w:val="single"/>
        </w:rPr>
        <w:t>159050</w:t>
      </w:r>
      <w:r>
        <w:rPr>
          <w:rFonts w:hAnsi="仿宋_GB2312" w:cs="仿宋_GB2312" w:hint="eastAsia"/>
        </w:rPr>
        <w:t>万元（教育事业费</w:t>
      </w:r>
      <w:r>
        <w:rPr>
          <w:rFonts w:hAnsi="仿宋_GB2312" w:cs="仿宋_GB2312"/>
          <w:u w:val="single"/>
        </w:rPr>
        <w:t>145505</w:t>
      </w:r>
      <w:r>
        <w:rPr>
          <w:rFonts w:hAnsi="仿宋_GB2312" w:cs="仿宋_GB2312"/>
        </w:rPr>
        <w:t xml:space="preserve">  </w:t>
      </w:r>
      <w:r>
        <w:rPr>
          <w:rFonts w:hAnsi="仿宋_GB2312" w:cs="仿宋_GB2312" w:hint="eastAsia"/>
        </w:rPr>
        <w:t>万元，基本建设经费</w:t>
      </w:r>
      <w:r>
        <w:rPr>
          <w:rFonts w:hAnsi="仿宋_GB2312" w:cs="仿宋_GB2312"/>
          <w:u w:val="single"/>
        </w:rPr>
        <w:t>0</w:t>
      </w:r>
      <w:r>
        <w:rPr>
          <w:rFonts w:hAnsi="仿宋_GB2312" w:cs="仿宋_GB2312" w:hint="eastAsia"/>
        </w:rPr>
        <w:t>万元，教育费附加费</w:t>
      </w:r>
      <w:r>
        <w:rPr>
          <w:rFonts w:hAnsi="仿宋_GB2312" w:cs="仿宋_GB2312"/>
          <w:u w:val="single"/>
        </w:rPr>
        <w:t>13545</w:t>
      </w:r>
      <w:r>
        <w:rPr>
          <w:rFonts w:hAnsi="仿宋_GB2312" w:cs="仿宋_GB2312" w:hint="eastAsia"/>
        </w:rPr>
        <w:t>万元）；其他一般公共预算安排的教育经费</w:t>
      </w:r>
      <w:r>
        <w:rPr>
          <w:rFonts w:hAnsi="仿宋_GB2312" w:cs="仿宋_GB2312"/>
          <w:u w:val="single"/>
        </w:rPr>
        <w:t>27404</w:t>
      </w:r>
      <w:r>
        <w:rPr>
          <w:rFonts w:hAnsi="仿宋_GB2312" w:cs="仿宋_GB2312" w:hint="eastAsia"/>
        </w:rPr>
        <w:t>；政府性基金预算安排的教育经费</w:t>
      </w:r>
      <w:r>
        <w:rPr>
          <w:rFonts w:hAnsi="仿宋_GB2312" w:cs="仿宋_GB2312"/>
          <w:u w:val="single"/>
        </w:rPr>
        <w:t>255</w:t>
      </w:r>
      <w:r>
        <w:rPr>
          <w:rFonts w:hAnsi="仿宋_GB2312" w:cs="仿宋_GB2312" w:hint="eastAsia"/>
        </w:rPr>
        <w:t>万元。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 w:hint="eastAsia"/>
        </w:rPr>
        <w:t>与上年数比较：</w:t>
      </w:r>
      <w:r>
        <w:rPr>
          <w:rFonts w:hAnsi="仿宋_GB2312" w:cs="仿宋_GB2312"/>
        </w:rPr>
        <w:t>2019</w:t>
      </w:r>
      <w:r>
        <w:rPr>
          <w:rFonts w:hAnsi="仿宋_GB2312" w:cs="仿宋_GB2312" w:hint="eastAsia"/>
        </w:rPr>
        <w:t>年度教育部门财政性教育经费投入决算数占去年决算数的</w:t>
      </w:r>
      <w:r>
        <w:rPr>
          <w:rFonts w:hAnsi="仿宋_GB2312" w:cs="仿宋_GB2312"/>
        </w:rPr>
        <w:t>111.22 %</w:t>
      </w:r>
      <w:r>
        <w:rPr>
          <w:rFonts w:hAnsi="仿宋_GB2312" w:cs="仿宋_GB2312" w:hint="eastAsia"/>
        </w:rPr>
        <w:t>。</w:t>
      </w:r>
      <w:r>
        <w:rPr>
          <w:rFonts w:hAnsi="仿宋_GB2312" w:cs="仿宋_GB2312"/>
        </w:rPr>
        <w:t>2019</w:t>
      </w:r>
      <w:r>
        <w:rPr>
          <w:rFonts w:hAnsi="仿宋_GB2312" w:cs="仿宋_GB2312" w:hint="eastAsia"/>
        </w:rPr>
        <w:t>年度教育部门财政性教育经费投入决算数占本年度年初预算数的</w:t>
      </w:r>
      <w:r>
        <w:rPr>
          <w:rFonts w:hAnsi="仿宋_GB2312" w:cs="仿宋_GB2312"/>
        </w:rPr>
        <w:t>124.15%</w:t>
      </w:r>
      <w:r>
        <w:rPr>
          <w:rFonts w:hAnsi="仿宋_GB2312" w:cs="仿宋_GB2312" w:hint="eastAsia"/>
        </w:rPr>
        <w:t>。</w:t>
      </w:r>
    </w:p>
    <w:tbl>
      <w:tblPr>
        <w:tblW w:w="8732" w:type="dxa"/>
        <w:tblInd w:w="91" w:type="dxa"/>
        <w:tblLayout w:type="fixed"/>
        <w:tblLook w:val="00A0"/>
      </w:tblPr>
      <w:tblGrid>
        <w:gridCol w:w="2132"/>
        <w:gridCol w:w="1155"/>
        <w:gridCol w:w="1260"/>
        <w:gridCol w:w="1380"/>
        <w:gridCol w:w="1395"/>
        <w:gridCol w:w="1410"/>
      </w:tblGrid>
      <w:tr w:rsidR="000E5564">
        <w:trPr>
          <w:trHeight w:val="651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b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b/>
                <w:kern w:val="0"/>
                <w:sz w:val="21"/>
                <w:szCs w:val="21"/>
              </w:rPr>
              <w:t>2019</w:t>
            </w:r>
            <w:r w:rsidRPr="009A2A3A">
              <w:rPr>
                <w:rFonts w:hAnsi="仿宋_GB2312" w:cs="仿宋_GB2312" w:hint="eastAsia"/>
                <w:b/>
                <w:kern w:val="0"/>
                <w:sz w:val="21"/>
                <w:szCs w:val="21"/>
              </w:rPr>
              <w:t>年财政投入分析表</w:t>
            </w:r>
          </w:p>
        </w:tc>
      </w:tr>
      <w:tr w:rsidR="000E5564">
        <w:trPr>
          <w:trHeight w:val="78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项目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2018</w:t>
            </w: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2019</w:t>
            </w: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2019</w:t>
            </w: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比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2018</w:t>
            </w: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年决算增长率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比</w:t>
            </w: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2019</w:t>
            </w: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年预算增长率</w:t>
            </w:r>
          </w:p>
        </w:tc>
      </w:tr>
      <w:tr w:rsidR="000E5564">
        <w:trPr>
          <w:trHeight w:val="28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4" w:rsidRPr="009A2A3A" w:rsidRDefault="000E5564" w:rsidP="009A2A3A">
            <w:pPr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167870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150379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186709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111.67%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124.15%</w:t>
            </w:r>
          </w:p>
        </w:tc>
      </w:tr>
      <w:tr w:rsidR="000E5564">
        <w:trPr>
          <w:trHeight w:val="4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公共预算安排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166990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150379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186454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E5564">
        <w:trPr>
          <w:trHeight w:val="4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教育事业费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133992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115808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145505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E5564">
        <w:trPr>
          <w:trHeight w:val="4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附加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11903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12241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13545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E5564">
        <w:trPr>
          <w:trHeight w:val="43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基本建设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E5564">
        <w:trPr>
          <w:trHeight w:val="4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其他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21095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22330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27404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E5564">
        <w:trPr>
          <w:trHeight w:val="4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564" w:rsidRPr="009A2A3A" w:rsidRDefault="000E5564" w:rsidP="009A2A3A">
            <w:pPr>
              <w:widowControl/>
              <w:spacing w:line="240" w:lineRule="exac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>基金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righ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/>
                <w:kern w:val="0"/>
                <w:sz w:val="21"/>
                <w:szCs w:val="21"/>
              </w:rPr>
              <w:t>255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564" w:rsidRPr="009A2A3A" w:rsidRDefault="000E5564" w:rsidP="009A2A3A">
            <w:pPr>
              <w:widowControl/>
              <w:spacing w:line="240" w:lineRule="exact"/>
              <w:jc w:val="left"/>
              <w:rPr>
                <w:rFonts w:hAnsi="仿宋_GB2312" w:cs="仿宋_GB2312"/>
                <w:kern w:val="0"/>
                <w:sz w:val="21"/>
                <w:szCs w:val="21"/>
              </w:rPr>
            </w:pPr>
            <w:r w:rsidRPr="009A2A3A">
              <w:rPr>
                <w:rFonts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0E5564" w:rsidRDefault="000E5564" w:rsidP="000E5564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ascii="黑体" w:eastAsia="黑体" w:hAnsi="黑体" w:cs="黑体" w:hint="eastAsia"/>
        </w:rPr>
        <w:t>三、部门（单位）资产管理情况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 w:hint="eastAsia"/>
        </w:rPr>
        <w:t>一是加强会计核算工作。严格执行现行固定资产管理制度，对购入的固定资产及时入账，并及时录入资产管理系统，编制固定资产卡片，确保账面上真实、完整的反映单位的固定资产情况，并结合本单位的实际情况，完善固定资产管理制度。二是加强程序管理。对纳入政府采购目录范围内的资产采购，必须报政府采购中心进行政府采购；未纳入政府采购目录范围内的资产采购，采用其他形式采购。未纳入预算的固定资产，不得随意采购，确需急用，必须经相关部门批准。三是加强内部监督。定期或不定期的对固定资产进行抽查。检查固定资产的购置、领用、处置等程序是否合规，账实是否相符等，防止国有资产的流失。</w:t>
      </w:r>
    </w:p>
    <w:p w:rsidR="000E5564" w:rsidRDefault="000E5564" w:rsidP="00876B6B">
      <w:pPr>
        <w:spacing w:line="500" w:lineRule="exact"/>
        <w:ind w:firstLineChars="200" w:firstLine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四、部门（单位）整体支出绩效目标及开展情况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 w:hint="eastAsia"/>
        </w:rPr>
        <w:t>整体支出绩效目标：</w:t>
      </w:r>
      <w:r>
        <w:rPr>
          <w:rFonts w:hAnsi="仿宋_GB2312" w:cs="仿宋_GB2312" w:hint="eastAsia"/>
          <w:kern w:val="0"/>
        </w:rPr>
        <w:t>围绕“教育优质均衡发展”的目标，持续推进教育改革创新，着力抓好“教师队伍管理、教育质量提升、校园安全工作”三大重点，为望城高质量发展提供人才支撑。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 w:hint="eastAsia"/>
          <w:kern w:val="0"/>
        </w:rPr>
        <w:t>开展情况：按照预算绩效管理工作的总体要求，全部实行整体支出绩效目标管理，认真编制《部门单位整体支出绩效目标申报表》，努力保证绩效目标申报的合理性、方案实施可行性，指标设置的明确性、相关性、可衡量性，预算合理性等；根据区财政局《关于开展</w:t>
      </w:r>
      <w:r>
        <w:rPr>
          <w:rFonts w:hAnsi="仿宋_GB2312" w:cs="仿宋_GB2312"/>
          <w:kern w:val="0"/>
        </w:rPr>
        <w:t>2019</w:t>
      </w:r>
      <w:r>
        <w:rPr>
          <w:rFonts w:hAnsi="仿宋_GB2312" w:cs="仿宋_GB2312" w:hint="eastAsia"/>
          <w:kern w:val="0"/>
        </w:rPr>
        <w:t>年度区级财政预算绩效自评工作的通知》（望财绩〔</w:t>
      </w:r>
      <w:r>
        <w:rPr>
          <w:rFonts w:hAnsi="仿宋_GB2312" w:cs="仿宋_GB2312"/>
          <w:kern w:val="0"/>
        </w:rPr>
        <w:t>2020</w:t>
      </w:r>
      <w:r>
        <w:rPr>
          <w:rFonts w:hAnsi="仿宋_GB2312" w:cs="仿宋_GB2312" w:hint="eastAsia"/>
          <w:kern w:val="0"/>
        </w:rPr>
        <w:t>〕</w:t>
      </w:r>
      <w:r>
        <w:rPr>
          <w:rFonts w:hAnsi="仿宋_GB2312" w:cs="仿宋_GB2312"/>
          <w:kern w:val="0"/>
        </w:rPr>
        <w:t>5</w:t>
      </w:r>
      <w:r>
        <w:rPr>
          <w:rFonts w:hAnsi="仿宋_GB2312" w:cs="仿宋_GB2312" w:hint="eastAsia"/>
          <w:kern w:val="0"/>
        </w:rPr>
        <w:t>号）文件要求，我局成立自评工作组，组织实施</w:t>
      </w:r>
      <w:r>
        <w:rPr>
          <w:rFonts w:hAnsi="仿宋_GB2312" w:cs="仿宋_GB2312"/>
          <w:kern w:val="0"/>
        </w:rPr>
        <w:t>2019</w:t>
      </w:r>
      <w:r>
        <w:rPr>
          <w:rFonts w:hAnsi="仿宋_GB2312" w:cs="仿宋_GB2312" w:hint="eastAsia"/>
          <w:kern w:val="0"/>
        </w:rPr>
        <w:t>年绩效管理自评工作；加强预算绩效动态监控管理，及时跟踪项目进度，对项目实施中存在的具体问题及时采取纠偏措施，确保了整体支出绩效目标的顺利实现。</w:t>
      </w:r>
    </w:p>
    <w:p w:rsidR="000E5564" w:rsidRDefault="000E5564" w:rsidP="00876B6B">
      <w:pPr>
        <w:spacing w:line="500" w:lineRule="exact"/>
        <w:ind w:firstLineChars="200" w:firstLine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五、部门（单位）整体支出绩效实现情况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 w:hint="eastAsia"/>
          <w:kern w:val="0"/>
        </w:rPr>
        <w:t>（一）履职完成情况：从数量、质量、时效和成本等方面归纳反映年度主要计划任务完成情况。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1.</w:t>
      </w:r>
      <w:r>
        <w:rPr>
          <w:rFonts w:hAnsi="仿宋_GB2312" w:cs="仿宋_GB2312" w:hint="eastAsia"/>
          <w:kern w:val="0"/>
        </w:rPr>
        <w:t>新建</w:t>
      </w:r>
      <w:r>
        <w:rPr>
          <w:rFonts w:hAnsi="仿宋_GB2312" w:cs="仿宋_GB2312"/>
          <w:kern w:val="0"/>
        </w:rPr>
        <w:t>3</w:t>
      </w:r>
      <w:r>
        <w:rPr>
          <w:rFonts w:hAnsi="仿宋_GB2312" w:cs="仿宋_GB2312" w:hint="eastAsia"/>
          <w:kern w:val="0"/>
        </w:rPr>
        <w:t>所公办幼儿园；完成</w:t>
      </w:r>
      <w:r>
        <w:rPr>
          <w:rFonts w:hAnsi="仿宋_GB2312" w:cs="仿宋_GB2312"/>
          <w:kern w:val="0"/>
        </w:rPr>
        <w:t>20</w:t>
      </w:r>
      <w:r>
        <w:rPr>
          <w:rFonts w:hAnsi="仿宋_GB2312" w:cs="仿宋_GB2312" w:hint="eastAsia"/>
          <w:kern w:val="0"/>
        </w:rPr>
        <w:t>所义务教育标准化学校建设；加快楼盘配套学校建设，确保长沙市一中金山桥学校等</w:t>
      </w:r>
      <w:r>
        <w:rPr>
          <w:rFonts w:hAnsi="仿宋_GB2312" w:cs="仿宋_GB2312"/>
          <w:kern w:val="0"/>
        </w:rPr>
        <w:t>6</w:t>
      </w:r>
      <w:r>
        <w:rPr>
          <w:rFonts w:hAnsi="仿宋_GB2312" w:cs="仿宋_GB2312" w:hint="eastAsia"/>
          <w:kern w:val="0"/>
        </w:rPr>
        <w:t>所学校如期投入使用；对全区公办园实施照明工程改造；加快推进区一中、二中、六中提质改造，以及区职中理实一体楼、黄金中学改扩建等项目。规划启动</w:t>
      </w:r>
      <w:r>
        <w:rPr>
          <w:rFonts w:hAnsi="仿宋_GB2312" w:cs="仿宋_GB2312"/>
          <w:kern w:val="0"/>
        </w:rPr>
        <w:t>2020</w:t>
      </w:r>
      <w:r>
        <w:rPr>
          <w:rFonts w:hAnsi="仿宋_GB2312" w:cs="仿宋_GB2312" w:hint="eastAsia"/>
          <w:kern w:val="0"/>
        </w:rPr>
        <w:t>年开学学校项目的前期筹备工作。稳步推进规模学校后勤服务社会化。</w:t>
      </w:r>
      <w:r>
        <w:rPr>
          <w:rFonts w:hAnsi="仿宋_GB2312" w:cs="仿宋_GB2312"/>
          <w:kern w:val="0"/>
        </w:rPr>
        <w:t>2019</w:t>
      </w:r>
      <w:r>
        <w:rPr>
          <w:rFonts w:hAnsi="仿宋_GB2312" w:cs="仿宋_GB2312" w:hint="eastAsia"/>
          <w:kern w:val="0"/>
        </w:rPr>
        <w:t>年新增中小学优质学位</w:t>
      </w:r>
      <w:r>
        <w:rPr>
          <w:rFonts w:hAnsi="仿宋_GB2312" w:cs="仿宋_GB2312"/>
          <w:kern w:val="0"/>
        </w:rPr>
        <w:t>18000</w:t>
      </w:r>
      <w:r>
        <w:rPr>
          <w:rFonts w:hAnsi="仿宋_GB2312" w:cs="仿宋_GB2312" w:hint="eastAsia"/>
          <w:kern w:val="0"/>
        </w:rPr>
        <w:t>个，保障了适龄儿童青少年入学需求，化解义务教育阶段大班额</w:t>
      </w:r>
      <w:r>
        <w:rPr>
          <w:rFonts w:hAnsi="仿宋_GB2312" w:cs="仿宋_GB2312"/>
          <w:kern w:val="0"/>
        </w:rPr>
        <w:t>21</w:t>
      </w:r>
      <w:r>
        <w:rPr>
          <w:rFonts w:hAnsi="仿宋_GB2312" w:cs="仿宋_GB2312" w:hint="eastAsia"/>
          <w:kern w:val="0"/>
        </w:rPr>
        <w:t>个。高中学业水平考试一次性合格率位列四县（市、区）第</w:t>
      </w:r>
      <w:r>
        <w:rPr>
          <w:rFonts w:hAnsi="仿宋_GB2312" w:cs="仿宋_GB2312"/>
          <w:kern w:val="0"/>
        </w:rPr>
        <w:t>2</w:t>
      </w:r>
      <w:r>
        <w:rPr>
          <w:rFonts w:hAnsi="仿宋_GB2312" w:cs="仿宋_GB2312" w:hint="eastAsia"/>
          <w:kern w:val="0"/>
        </w:rPr>
        <w:t>位；高考二本及以上上线率比</w:t>
      </w:r>
      <w:r>
        <w:rPr>
          <w:rFonts w:hAnsi="仿宋_GB2312" w:cs="仿宋_GB2312"/>
          <w:kern w:val="0"/>
        </w:rPr>
        <w:t>2018</w:t>
      </w:r>
      <w:r>
        <w:rPr>
          <w:rFonts w:hAnsi="仿宋_GB2312" w:cs="仿宋_GB2312" w:hint="eastAsia"/>
          <w:kern w:val="0"/>
        </w:rPr>
        <w:t>年提高</w:t>
      </w:r>
      <w:r>
        <w:rPr>
          <w:rFonts w:hAnsi="仿宋_GB2312" w:cs="仿宋_GB2312"/>
          <w:kern w:val="0"/>
        </w:rPr>
        <w:t>6</w:t>
      </w:r>
      <w:r>
        <w:rPr>
          <w:rFonts w:hAnsi="仿宋_GB2312" w:cs="仿宋_GB2312" w:hint="eastAsia"/>
          <w:kern w:val="0"/>
        </w:rPr>
        <w:t>个百分点。区职业中专毕业生就业率</w:t>
      </w:r>
      <w:r>
        <w:rPr>
          <w:rFonts w:hAnsi="仿宋_GB2312" w:cs="仿宋_GB2312"/>
          <w:kern w:val="0"/>
        </w:rPr>
        <w:t>98%</w:t>
      </w:r>
      <w:r>
        <w:rPr>
          <w:rFonts w:hAnsi="仿宋_GB2312" w:cs="仿宋_GB2312" w:hint="eastAsia"/>
          <w:kern w:val="0"/>
        </w:rPr>
        <w:t>，本地就业率</w:t>
      </w:r>
      <w:r>
        <w:rPr>
          <w:rFonts w:hAnsi="仿宋_GB2312" w:cs="仿宋_GB2312"/>
          <w:kern w:val="0"/>
        </w:rPr>
        <w:t>100%</w:t>
      </w:r>
      <w:r>
        <w:rPr>
          <w:rFonts w:hAnsi="仿宋_GB2312" w:cs="仿宋_GB2312" w:hint="eastAsia"/>
          <w:kern w:val="0"/>
        </w:rPr>
        <w:t>，全省职业技能竞赛取得优异成绩。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2.</w:t>
      </w:r>
      <w:r>
        <w:rPr>
          <w:rFonts w:hAnsi="仿宋_GB2312" w:cs="仿宋_GB2312" w:hint="eastAsia"/>
          <w:kern w:val="0"/>
        </w:rPr>
        <w:t>按</w:t>
      </w:r>
      <w:r>
        <w:rPr>
          <w:rFonts w:hAnsi="仿宋_GB2312" w:cs="仿宋_GB2312"/>
          <w:kern w:val="0"/>
        </w:rPr>
        <w:t>1</w:t>
      </w:r>
      <w:r>
        <w:rPr>
          <w:rFonts w:hAnsi="仿宋_GB2312" w:cs="仿宋_GB2312" w:hint="eastAsia"/>
          <w:kern w:val="0"/>
        </w:rPr>
        <w:t>万元</w:t>
      </w:r>
      <w:r>
        <w:rPr>
          <w:rFonts w:hAnsi="仿宋_GB2312" w:cs="仿宋_GB2312"/>
          <w:kern w:val="0"/>
        </w:rPr>
        <w:t>/</w:t>
      </w:r>
      <w:r>
        <w:rPr>
          <w:rFonts w:hAnsi="仿宋_GB2312" w:cs="仿宋_GB2312" w:hint="eastAsia"/>
          <w:kern w:val="0"/>
        </w:rPr>
        <w:t>人</w:t>
      </w:r>
      <w:r>
        <w:rPr>
          <w:rFonts w:hAnsi="仿宋_GB2312" w:cs="仿宋_GB2312"/>
          <w:kern w:val="0"/>
        </w:rPr>
        <w:t>.</w:t>
      </w:r>
      <w:r>
        <w:rPr>
          <w:rFonts w:hAnsi="仿宋_GB2312" w:cs="仿宋_GB2312" w:hint="eastAsia"/>
          <w:kern w:val="0"/>
        </w:rPr>
        <w:t>年，由教育局按照“多劳多得、优绩优酬”原则，对一线教学岗位教师共</w:t>
      </w:r>
      <w:r>
        <w:rPr>
          <w:rFonts w:hAnsi="仿宋_GB2312" w:cs="仿宋_GB2312"/>
          <w:kern w:val="0"/>
        </w:rPr>
        <w:t>4000</w:t>
      </w:r>
      <w:r>
        <w:rPr>
          <w:rFonts w:hAnsi="仿宋_GB2312" w:cs="仿宋_GB2312" w:hint="eastAsia"/>
          <w:kern w:val="0"/>
        </w:rPr>
        <w:t>多人制定具体考核奖励办法报政府批复后进行分配。教师午餐补助、教职工节日和生日慰问费得到保障。教育行风明显好转，教师的职业幸福指数不断提升。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3.</w:t>
      </w:r>
      <w:r>
        <w:rPr>
          <w:rFonts w:hAnsi="仿宋_GB2312" w:cs="仿宋_GB2312" w:hint="eastAsia"/>
          <w:kern w:val="0"/>
        </w:rPr>
        <w:t>不断完善数字教育资源公共服务体系，高水平实现“宽带网络校校通”“优质资源班班通”“网络空间人人通”。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4.</w:t>
      </w:r>
      <w:r>
        <w:rPr>
          <w:rFonts w:hAnsi="仿宋_GB2312" w:cs="仿宋_GB2312" w:hint="eastAsia"/>
          <w:kern w:val="0"/>
        </w:rPr>
        <w:t>抓好“研赛培”工作，完善校长教师培训体系，抓好教师全员培训、骨干教师、班主任培训和校本培训，实施卓越教师工程，引领全区教师专业发展。培训教师</w:t>
      </w:r>
      <w:r>
        <w:rPr>
          <w:rFonts w:hAnsi="仿宋_GB2312" w:cs="仿宋_GB2312"/>
          <w:kern w:val="0"/>
        </w:rPr>
        <w:t>7700</w:t>
      </w:r>
      <w:r>
        <w:rPr>
          <w:rFonts w:hAnsi="仿宋_GB2312" w:cs="仿宋_GB2312" w:hint="eastAsia"/>
          <w:kern w:val="0"/>
        </w:rPr>
        <w:t>人次。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5.</w:t>
      </w:r>
      <w:r>
        <w:rPr>
          <w:rFonts w:hAnsi="仿宋_GB2312" w:cs="仿宋_GB2312" w:hint="eastAsia"/>
          <w:kern w:val="0"/>
        </w:rPr>
        <w:t>大力发展一二级普惠园，加强普惠园的管理，全面提升学前教育保教质量。苗苗幼儿园被教育部认定为全国足球特色幼儿园；金坪幼儿园幼儿足球队获省第二届“雷锋杯”幼儿足球趣味运动会“团体特等奖”“</w:t>
      </w:r>
      <w:r>
        <w:rPr>
          <w:rFonts w:hAnsi="仿宋_GB2312" w:cs="仿宋_GB2312"/>
          <w:kern w:val="0"/>
        </w:rPr>
        <w:t xml:space="preserve"> 5v5</w:t>
      </w:r>
      <w:r>
        <w:rPr>
          <w:rFonts w:hAnsi="仿宋_GB2312" w:cs="仿宋_GB2312" w:hint="eastAsia"/>
          <w:kern w:val="0"/>
        </w:rPr>
        <w:t>”足球比赛特等奖。新改扩建公办园</w:t>
      </w:r>
      <w:r>
        <w:rPr>
          <w:rFonts w:hAnsi="仿宋_GB2312" w:cs="仿宋_GB2312"/>
          <w:kern w:val="0"/>
        </w:rPr>
        <w:t>3</w:t>
      </w:r>
      <w:r>
        <w:rPr>
          <w:rFonts w:hAnsi="仿宋_GB2312" w:cs="仿宋_GB2312" w:hint="eastAsia"/>
          <w:kern w:val="0"/>
        </w:rPr>
        <w:t>所，公办园和普惠园占总园所数的比例达</w:t>
      </w:r>
      <w:r>
        <w:rPr>
          <w:rFonts w:hAnsi="仿宋_GB2312" w:cs="仿宋_GB2312"/>
          <w:kern w:val="0"/>
        </w:rPr>
        <w:t>85.8%</w:t>
      </w:r>
      <w:r>
        <w:rPr>
          <w:rFonts w:hAnsi="仿宋_GB2312" w:cs="仿宋_GB2312" w:hint="eastAsia"/>
          <w:kern w:val="0"/>
        </w:rPr>
        <w:t>，学前教育普惠率走在全市前列。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6.</w:t>
      </w:r>
      <w:r>
        <w:rPr>
          <w:rFonts w:hAnsi="仿宋_GB2312" w:cs="仿宋_GB2312" w:hint="eastAsia"/>
          <w:kern w:val="0"/>
        </w:rPr>
        <w:t>推进“平安校园”建设，升级学校“三防”设施，开展校车安全督查和整治行动，确保校车安全运营。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7.</w:t>
      </w:r>
      <w:r>
        <w:rPr>
          <w:rFonts w:hAnsi="仿宋_GB2312" w:cs="仿宋_GB2312" w:hint="eastAsia"/>
          <w:kern w:val="0"/>
        </w:rPr>
        <w:t>完善合作办学学校对口帮扶、教育集团托管学校工作制度，推进城乡义务教育一体化发展。</w:t>
      </w:r>
      <w:r>
        <w:rPr>
          <w:rFonts w:hAnsi="仿宋_GB2312" w:cs="仿宋_GB2312"/>
          <w:kern w:val="0"/>
        </w:rPr>
        <w:t>2019</w:t>
      </w:r>
      <w:r>
        <w:rPr>
          <w:rFonts w:hAnsi="仿宋_GB2312" w:cs="仿宋_GB2312" w:hint="eastAsia"/>
          <w:kern w:val="0"/>
        </w:rPr>
        <w:t>年全区中考一次性合格率比</w:t>
      </w:r>
      <w:r>
        <w:rPr>
          <w:rFonts w:hAnsi="仿宋_GB2312" w:cs="仿宋_GB2312"/>
          <w:kern w:val="0"/>
        </w:rPr>
        <w:t>2018</w:t>
      </w:r>
      <w:r>
        <w:rPr>
          <w:rFonts w:hAnsi="仿宋_GB2312" w:cs="仿宋_GB2312" w:hint="eastAsia"/>
          <w:kern w:val="0"/>
        </w:rPr>
        <w:t>年提高</w:t>
      </w:r>
      <w:r>
        <w:rPr>
          <w:rFonts w:hAnsi="仿宋_GB2312" w:cs="仿宋_GB2312"/>
          <w:kern w:val="0"/>
        </w:rPr>
        <w:t>8</w:t>
      </w:r>
      <w:r>
        <w:rPr>
          <w:rFonts w:hAnsi="仿宋_GB2312" w:cs="仿宋_GB2312" w:hint="eastAsia"/>
          <w:kern w:val="0"/>
        </w:rPr>
        <w:t>个百分点；高中学业水平考试一次性合格率位列四县（市、区）第</w:t>
      </w:r>
      <w:r>
        <w:rPr>
          <w:rFonts w:hAnsi="仿宋_GB2312" w:cs="仿宋_GB2312"/>
          <w:kern w:val="0"/>
        </w:rPr>
        <w:t>2</w:t>
      </w:r>
      <w:r>
        <w:rPr>
          <w:rFonts w:hAnsi="仿宋_GB2312" w:cs="仿宋_GB2312" w:hint="eastAsia"/>
          <w:kern w:val="0"/>
        </w:rPr>
        <w:t>位。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 w:hint="eastAsia"/>
          <w:kern w:val="0"/>
        </w:rPr>
        <w:t>（二）履职效果情况：从社会效益、经济效益、生态效益和可持续影响等方面反映部门（单位）履职效果的实现情况。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1.</w:t>
      </w:r>
      <w:r>
        <w:rPr>
          <w:rFonts w:hAnsi="仿宋_GB2312" w:cs="仿宋_GB2312" w:hint="eastAsia"/>
          <w:kern w:val="0"/>
        </w:rPr>
        <w:t>优质教育资源覆盖面进一步扩大，助推区域教育优质均衡发展。促进教育公平，扩大优质资源供给力。学前教育强管理、义务教育促均衡、高中教育提质量、职业教育增活力、民办教育求规范。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2.</w:t>
      </w:r>
      <w:r>
        <w:rPr>
          <w:rFonts w:hAnsi="仿宋_GB2312" w:cs="仿宋_GB2312" w:hint="eastAsia"/>
          <w:kern w:val="0"/>
        </w:rPr>
        <w:t>合理拉大教师收入差距，提高了教师待遇和地位，激发教师工作热情，促进大局和谐稳定，教师积极性显著增强，教学质量提升。教育发展环境不断优化。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3.</w:t>
      </w:r>
      <w:r>
        <w:rPr>
          <w:rFonts w:hAnsi="仿宋_GB2312" w:cs="仿宋_GB2312" w:hint="eastAsia"/>
          <w:kern w:val="0"/>
        </w:rPr>
        <w:t>推动信息技术在教育政务服务、质量监测、督导评估、安全管理、无纸化办公等方面的高效应用，提升现代教育信息化水平。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4.</w:t>
      </w:r>
      <w:r>
        <w:rPr>
          <w:rFonts w:hAnsi="仿宋_GB2312" w:cs="仿宋_GB2312" w:hint="eastAsia"/>
          <w:kern w:val="0"/>
        </w:rPr>
        <w:t>深化综合改革，激发创新发展源动力。提高全区教师整体素质，促进教师专业成长，加强教师队伍建设，促进全区教师专业发展。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5.</w:t>
      </w:r>
      <w:r>
        <w:rPr>
          <w:rFonts w:hAnsi="仿宋_GB2312" w:cs="仿宋_GB2312" w:hint="eastAsia"/>
          <w:kern w:val="0"/>
        </w:rPr>
        <w:t>配足安保力量，配齐安保设备，校园安保工作实现提质升级，确保校车安全运营，营造了平安和谐稳定的育人环境。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/>
          <w:kern w:val="0"/>
        </w:rPr>
        <w:t>6.</w:t>
      </w:r>
      <w:r>
        <w:rPr>
          <w:rFonts w:hAnsi="仿宋_GB2312" w:cs="仿宋_GB2312" w:hint="eastAsia"/>
          <w:kern w:val="0"/>
        </w:rPr>
        <w:t>教育教学质量大幅提升，步入全市中等行列；学前教育三年毛入园率达</w:t>
      </w:r>
      <w:r>
        <w:rPr>
          <w:rFonts w:hAnsi="仿宋_GB2312" w:cs="仿宋_GB2312"/>
          <w:kern w:val="0"/>
        </w:rPr>
        <w:t>94%</w:t>
      </w:r>
      <w:r>
        <w:rPr>
          <w:rFonts w:hAnsi="仿宋_GB2312" w:cs="仿宋_GB2312" w:hint="eastAsia"/>
          <w:kern w:val="0"/>
        </w:rPr>
        <w:t>，公办园和普惠性民办园的占比达</w:t>
      </w:r>
      <w:r>
        <w:rPr>
          <w:rFonts w:hAnsi="仿宋_GB2312" w:cs="仿宋_GB2312"/>
          <w:kern w:val="0"/>
        </w:rPr>
        <w:t>80%</w:t>
      </w:r>
      <w:r>
        <w:rPr>
          <w:rFonts w:hAnsi="仿宋_GB2312" w:cs="仿宋_GB2312" w:hint="eastAsia"/>
          <w:kern w:val="0"/>
        </w:rPr>
        <w:t>；小学、初中适龄人口入学率保持</w:t>
      </w:r>
      <w:r>
        <w:rPr>
          <w:rFonts w:hAnsi="仿宋_GB2312" w:cs="仿宋_GB2312"/>
          <w:kern w:val="0"/>
        </w:rPr>
        <w:t>100%</w:t>
      </w:r>
      <w:r>
        <w:rPr>
          <w:rFonts w:hAnsi="仿宋_GB2312" w:cs="仿宋_GB2312" w:hint="eastAsia"/>
          <w:kern w:val="0"/>
        </w:rPr>
        <w:t>，三类残疾儿童入学率不低于</w:t>
      </w:r>
      <w:r>
        <w:rPr>
          <w:rFonts w:hAnsi="仿宋_GB2312" w:cs="仿宋_GB2312"/>
          <w:kern w:val="0"/>
        </w:rPr>
        <w:t>93%</w:t>
      </w:r>
      <w:r>
        <w:rPr>
          <w:rFonts w:hAnsi="仿宋_GB2312" w:cs="仿宋_GB2312" w:hint="eastAsia"/>
          <w:kern w:val="0"/>
        </w:rPr>
        <w:t>；高中阶段毛入学率不低于</w:t>
      </w:r>
      <w:r>
        <w:rPr>
          <w:rFonts w:hAnsi="仿宋_GB2312" w:cs="仿宋_GB2312"/>
          <w:kern w:val="0"/>
        </w:rPr>
        <w:t>96.6%</w:t>
      </w:r>
      <w:r>
        <w:rPr>
          <w:rFonts w:hAnsi="仿宋_GB2312" w:cs="仿宋_GB2312" w:hint="eastAsia"/>
          <w:kern w:val="0"/>
        </w:rPr>
        <w:t>，普职分流大体相当；民办教育进一步规范办学，持续健康发展；教育的社会贡献水平持续提升。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  <w:kern w:val="0"/>
        </w:rPr>
      </w:pPr>
      <w:r>
        <w:rPr>
          <w:rFonts w:hAnsi="仿宋_GB2312" w:cs="仿宋_GB2312" w:hint="eastAsia"/>
          <w:kern w:val="0"/>
        </w:rPr>
        <w:t>（三）社会满意度情况</w:t>
      </w:r>
    </w:p>
    <w:p w:rsidR="000E5564" w:rsidRDefault="000E5564" w:rsidP="00876B6B">
      <w:pPr>
        <w:spacing w:line="500" w:lineRule="exact"/>
        <w:ind w:firstLineChars="200" w:firstLine="31680"/>
        <w:jc w:val="left"/>
        <w:rPr>
          <w:rFonts w:hAnsi="仿宋_GB2312" w:cs="仿宋_GB2312"/>
        </w:rPr>
      </w:pPr>
      <w:r>
        <w:rPr>
          <w:rFonts w:hAnsi="仿宋_GB2312" w:cs="仿宋_GB2312" w:hint="eastAsia"/>
          <w:kern w:val="0"/>
        </w:rPr>
        <w:t>望城区教育局提高预算绩效管理认识，强化以“绩效为中心、对支出结果负责、对社会公众负责”的理念，在各专项实施过程中，切实规范财政资金管理，强化部门责任意识，切实提高财政资金使用效益，社会满意度达到</w:t>
      </w:r>
      <w:r>
        <w:rPr>
          <w:rFonts w:hAnsi="仿宋_GB2312" w:cs="仿宋_GB2312"/>
          <w:kern w:val="0"/>
        </w:rPr>
        <w:t>85%</w:t>
      </w:r>
      <w:r>
        <w:rPr>
          <w:rFonts w:hAnsi="仿宋_GB2312" w:cs="仿宋_GB2312" w:hint="eastAsia"/>
          <w:kern w:val="0"/>
        </w:rPr>
        <w:t>以上。</w:t>
      </w:r>
    </w:p>
    <w:p w:rsidR="000E5564" w:rsidRDefault="000E5564" w:rsidP="00876B6B">
      <w:pPr>
        <w:spacing w:line="500" w:lineRule="exact"/>
        <w:ind w:firstLineChars="200" w:firstLine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六、部门（单位）整体支出绩效中存在问题及改进措施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 w:hint="eastAsia"/>
        </w:rPr>
        <w:t>（一）主要问题及原因分析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/>
        </w:rPr>
        <w:t>1.</w:t>
      </w:r>
      <w:r>
        <w:rPr>
          <w:rFonts w:hAnsi="仿宋_GB2312" w:cs="仿宋_GB2312" w:hint="eastAsia"/>
        </w:rPr>
        <w:t>制度体系需健全。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/>
        </w:rPr>
        <w:t>2.</w:t>
      </w:r>
      <w:r>
        <w:rPr>
          <w:rFonts w:hAnsi="仿宋_GB2312" w:cs="仿宋_GB2312" w:hint="eastAsia"/>
        </w:rPr>
        <w:t>预算管理需完善。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/>
        </w:rPr>
        <w:t>3.</w:t>
      </w:r>
      <w:r>
        <w:rPr>
          <w:rFonts w:hAnsi="仿宋_GB2312" w:cs="仿宋_GB2312" w:hint="eastAsia"/>
        </w:rPr>
        <w:t>绩效意识需加强。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 w:hint="eastAsia"/>
        </w:rPr>
        <w:t>（二）改进的方向和具体措施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/>
        </w:rPr>
        <w:t>1.</w:t>
      </w:r>
      <w:r>
        <w:rPr>
          <w:rFonts w:hAnsi="仿宋_GB2312" w:cs="仿宋_GB2312" w:hint="eastAsia"/>
        </w:rPr>
        <w:t>加强组织保障，确保绩效工作的时效性和整体绩效评估的优质效果。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/>
        </w:rPr>
        <w:t>2.</w:t>
      </w:r>
      <w:r>
        <w:rPr>
          <w:rFonts w:hAnsi="仿宋_GB2312" w:cs="仿宋_GB2312" w:hint="eastAsia"/>
        </w:rPr>
        <w:t>细化目标、责任到人、确保绩效评价工作有序开展。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/>
        </w:rPr>
        <w:t>3.</w:t>
      </w:r>
      <w:r>
        <w:rPr>
          <w:rFonts w:hAnsi="仿宋_GB2312" w:cs="仿宋_GB2312" w:hint="eastAsia"/>
        </w:rPr>
        <w:t>加强绩效评价和绩效监控，认真开展好绩效自评。</w:t>
      </w:r>
    </w:p>
    <w:p w:rsidR="000E5564" w:rsidRDefault="000E5564" w:rsidP="00876B6B">
      <w:pPr>
        <w:spacing w:line="500" w:lineRule="exact"/>
        <w:ind w:firstLineChars="200" w:firstLine="31680"/>
        <w:rPr>
          <w:rFonts w:hAnsi="仿宋_GB2312" w:cs="仿宋_GB2312"/>
        </w:rPr>
      </w:pPr>
      <w:r>
        <w:rPr>
          <w:rFonts w:hAnsi="仿宋_GB2312" w:cs="仿宋_GB2312"/>
        </w:rPr>
        <w:t>4.</w:t>
      </w:r>
      <w:r>
        <w:rPr>
          <w:rFonts w:hAnsi="仿宋_GB2312" w:cs="仿宋_GB2312" w:hint="eastAsia"/>
        </w:rPr>
        <w:t>加强财务管理，规范预算支出。</w:t>
      </w:r>
    </w:p>
    <w:p w:rsidR="000E5564" w:rsidRDefault="000E5564" w:rsidP="003E5025">
      <w:pPr>
        <w:spacing w:line="500" w:lineRule="exact"/>
        <w:ind w:firstLineChars="200" w:firstLine="31680"/>
        <w:rPr>
          <w:rFonts w:ascii="黑体" w:eastAsia="黑体" w:hAnsi="黑体" w:cs="黑体"/>
        </w:rPr>
      </w:pPr>
      <w:bookmarkStart w:id="0" w:name="_GoBack"/>
      <w:r>
        <w:rPr>
          <w:rFonts w:ascii="黑体" w:eastAsia="黑体" w:hAnsi="黑体" w:cs="黑体" w:hint="eastAsia"/>
        </w:rPr>
        <w:t>七、其它需要说明的情况</w:t>
      </w:r>
    </w:p>
    <w:bookmarkEnd w:id="0"/>
    <w:p w:rsidR="000E5564" w:rsidRDefault="000E5564">
      <w:pPr>
        <w:tabs>
          <w:tab w:val="left" w:pos="1200"/>
        </w:tabs>
        <w:spacing w:line="500" w:lineRule="exact"/>
        <w:jc w:val="left"/>
        <w:rPr>
          <w:rFonts w:hAnsi="仿宋_GB2312" w:cs="仿宋_GB2312"/>
        </w:rPr>
      </w:pPr>
      <w:r>
        <w:rPr>
          <w:rFonts w:hAnsi="仿宋_GB2312" w:cs="仿宋_GB2312"/>
        </w:rPr>
        <w:tab/>
      </w:r>
      <w:r>
        <w:rPr>
          <w:rFonts w:hAnsi="仿宋_GB2312" w:cs="仿宋_GB2312" w:hint="eastAsia"/>
        </w:rPr>
        <w:t>无。</w:t>
      </w:r>
    </w:p>
    <w:sectPr w:rsidR="000E5564" w:rsidSect="001A74A6">
      <w:footerReference w:type="even" r:id="rId6"/>
      <w:footerReference w:type="default" r:id="rId7"/>
      <w:pgSz w:w="11906" w:h="16838"/>
      <w:pgMar w:top="1701" w:right="1587" w:bottom="1417" w:left="1701" w:header="851" w:footer="850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64" w:rsidRDefault="000E5564">
      <w:pPr>
        <w:spacing w:line="240" w:lineRule="auto"/>
      </w:pPr>
      <w:r>
        <w:separator/>
      </w:r>
    </w:p>
  </w:endnote>
  <w:endnote w:type="continuationSeparator" w:id="0">
    <w:p w:rsidR="000E5564" w:rsidRDefault="000E5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64" w:rsidRDefault="000E5564">
    <w:pPr>
      <w:pStyle w:val="Footer"/>
    </w:pPr>
    <w:r>
      <w:rPr>
        <w:rFonts w:ascii="仿宋" w:eastAsia="仿宋" w:hAnsi="仿宋" w:cs="仿宋"/>
        <w:sz w:val="28"/>
        <w:szCs w:val="28"/>
      </w:rPr>
      <w:fldChar w:fldCharType="begin"/>
    </w:r>
    <w:r>
      <w:rPr>
        <w:rFonts w:ascii="仿宋" w:eastAsia="仿宋" w:hAnsi="仿宋" w:cs="仿宋"/>
        <w:sz w:val="28"/>
        <w:szCs w:val="28"/>
      </w:rPr>
      <w:instrText>PAGE   \* MERGEFORMAT</w:instrText>
    </w:r>
    <w:r>
      <w:rPr>
        <w:rFonts w:ascii="仿宋" w:eastAsia="仿宋" w:hAnsi="仿宋" w:cs="仿宋"/>
        <w:sz w:val="28"/>
        <w:szCs w:val="28"/>
      </w:rPr>
      <w:fldChar w:fldCharType="separate"/>
    </w:r>
    <w:r w:rsidRPr="00876B6B">
      <w:rPr>
        <w:rFonts w:ascii="仿宋" w:eastAsia="仿宋" w:hAnsi="仿宋" w:cs="仿宋"/>
        <w:noProof/>
        <w:sz w:val="28"/>
        <w:szCs w:val="28"/>
        <w:lang w:val="zh-CN"/>
      </w:rPr>
      <w:t>-</w:t>
    </w:r>
    <w:r>
      <w:rPr>
        <w:rFonts w:ascii="仿宋" w:eastAsia="仿宋" w:hAnsi="仿宋" w:cs="仿宋"/>
        <w:noProof/>
        <w:sz w:val="28"/>
        <w:szCs w:val="28"/>
      </w:rPr>
      <w:t xml:space="preserve"> 4 -</w:t>
    </w:r>
    <w:r>
      <w:rPr>
        <w:rFonts w:ascii="仿宋" w:eastAsia="仿宋" w:hAnsi="仿宋" w:cs="仿宋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64" w:rsidRDefault="000E5564">
    <w:pPr>
      <w:pStyle w:val="Footer"/>
      <w:jc w:val="right"/>
    </w:pPr>
    <w:r>
      <w:rPr>
        <w:rFonts w:ascii="仿宋" w:eastAsia="仿宋" w:hAnsi="仿宋" w:cs="仿宋"/>
        <w:sz w:val="28"/>
        <w:szCs w:val="28"/>
      </w:rPr>
      <w:fldChar w:fldCharType="begin"/>
    </w:r>
    <w:r>
      <w:rPr>
        <w:rFonts w:ascii="仿宋" w:eastAsia="仿宋" w:hAnsi="仿宋" w:cs="仿宋"/>
        <w:sz w:val="28"/>
        <w:szCs w:val="28"/>
      </w:rPr>
      <w:instrText>PAGE   \* MERGEFORMAT</w:instrText>
    </w:r>
    <w:r>
      <w:rPr>
        <w:rFonts w:ascii="仿宋" w:eastAsia="仿宋" w:hAnsi="仿宋" w:cs="仿宋"/>
        <w:sz w:val="28"/>
        <w:szCs w:val="28"/>
      </w:rPr>
      <w:fldChar w:fldCharType="separate"/>
    </w:r>
    <w:r w:rsidRPr="00876B6B">
      <w:rPr>
        <w:rFonts w:ascii="仿宋" w:eastAsia="仿宋" w:hAnsi="仿宋" w:cs="仿宋"/>
        <w:noProof/>
        <w:sz w:val="28"/>
        <w:szCs w:val="28"/>
        <w:lang w:val="zh-CN"/>
      </w:rPr>
      <w:t>-</w:t>
    </w:r>
    <w:r>
      <w:rPr>
        <w:rFonts w:ascii="仿宋" w:eastAsia="仿宋" w:hAnsi="仿宋" w:cs="仿宋"/>
        <w:noProof/>
        <w:sz w:val="28"/>
        <w:szCs w:val="28"/>
      </w:rPr>
      <w:t xml:space="preserve"> 3 -</w:t>
    </w:r>
    <w:r>
      <w:rPr>
        <w:rFonts w:ascii="仿宋" w:eastAsia="仿宋" w:hAnsi="仿宋" w:cs="仿宋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64" w:rsidRDefault="000E5564">
      <w:pPr>
        <w:spacing w:line="240" w:lineRule="auto"/>
      </w:pPr>
      <w:r>
        <w:separator/>
      </w:r>
    </w:p>
  </w:footnote>
  <w:footnote w:type="continuationSeparator" w:id="0">
    <w:p w:rsidR="000E5564" w:rsidRDefault="000E55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747"/>
    <w:rsid w:val="00005D88"/>
    <w:rsid w:val="00017EBD"/>
    <w:rsid w:val="000401C5"/>
    <w:rsid w:val="00050733"/>
    <w:rsid w:val="00057A74"/>
    <w:rsid w:val="00064467"/>
    <w:rsid w:val="0007763D"/>
    <w:rsid w:val="0008243B"/>
    <w:rsid w:val="000877BF"/>
    <w:rsid w:val="00091E7B"/>
    <w:rsid w:val="000D230F"/>
    <w:rsid w:val="000E20BF"/>
    <w:rsid w:val="000E5564"/>
    <w:rsid w:val="00106906"/>
    <w:rsid w:val="00111454"/>
    <w:rsid w:val="0016305B"/>
    <w:rsid w:val="00170D2C"/>
    <w:rsid w:val="00186070"/>
    <w:rsid w:val="00190E73"/>
    <w:rsid w:val="001918FE"/>
    <w:rsid w:val="001A2888"/>
    <w:rsid w:val="001A74A6"/>
    <w:rsid w:val="001B67CB"/>
    <w:rsid w:val="001B6A3D"/>
    <w:rsid w:val="001C0081"/>
    <w:rsid w:val="001C10FB"/>
    <w:rsid w:val="001E275B"/>
    <w:rsid w:val="001E6B38"/>
    <w:rsid w:val="001F591B"/>
    <w:rsid w:val="001F7A6C"/>
    <w:rsid w:val="00225B82"/>
    <w:rsid w:val="002436E5"/>
    <w:rsid w:val="002603D7"/>
    <w:rsid w:val="00263876"/>
    <w:rsid w:val="00264568"/>
    <w:rsid w:val="00283DDC"/>
    <w:rsid w:val="00294D02"/>
    <w:rsid w:val="002A1C9D"/>
    <w:rsid w:val="002D2B17"/>
    <w:rsid w:val="002D6DE6"/>
    <w:rsid w:val="002F15A3"/>
    <w:rsid w:val="002F4C93"/>
    <w:rsid w:val="002F7238"/>
    <w:rsid w:val="00303747"/>
    <w:rsid w:val="00304A80"/>
    <w:rsid w:val="00311F5D"/>
    <w:rsid w:val="003202CE"/>
    <w:rsid w:val="003370D8"/>
    <w:rsid w:val="00344F4D"/>
    <w:rsid w:val="00345F10"/>
    <w:rsid w:val="00347B6E"/>
    <w:rsid w:val="0035691A"/>
    <w:rsid w:val="00365CB3"/>
    <w:rsid w:val="003663D1"/>
    <w:rsid w:val="0037668D"/>
    <w:rsid w:val="003809B6"/>
    <w:rsid w:val="00382329"/>
    <w:rsid w:val="003A32AD"/>
    <w:rsid w:val="003E2B22"/>
    <w:rsid w:val="003E5025"/>
    <w:rsid w:val="003F52D0"/>
    <w:rsid w:val="00406148"/>
    <w:rsid w:val="00406EF4"/>
    <w:rsid w:val="00413BF7"/>
    <w:rsid w:val="004358A4"/>
    <w:rsid w:val="004378B6"/>
    <w:rsid w:val="0044035E"/>
    <w:rsid w:val="00486AFF"/>
    <w:rsid w:val="00490592"/>
    <w:rsid w:val="004C06F3"/>
    <w:rsid w:val="004C0FAE"/>
    <w:rsid w:val="004C37B2"/>
    <w:rsid w:val="004C420F"/>
    <w:rsid w:val="004E1BAF"/>
    <w:rsid w:val="004E5E17"/>
    <w:rsid w:val="004F24CD"/>
    <w:rsid w:val="00502C54"/>
    <w:rsid w:val="005362BF"/>
    <w:rsid w:val="00570BC5"/>
    <w:rsid w:val="005A2FDD"/>
    <w:rsid w:val="005A43DF"/>
    <w:rsid w:val="005B5668"/>
    <w:rsid w:val="005C304E"/>
    <w:rsid w:val="005C424E"/>
    <w:rsid w:val="005D1FF9"/>
    <w:rsid w:val="005D34B9"/>
    <w:rsid w:val="005D6E14"/>
    <w:rsid w:val="005F4A12"/>
    <w:rsid w:val="0060178E"/>
    <w:rsid w:val="006078F9"/>
    <w:rsid w:val="00610F28"/>
    <w:rsid w:val="00620E58"/>
    <w:rsid w:val="006270C6"/>
    <w:rsid w:val="006354FD"/>
    <w:rsid w:val="00641607"/>
    <w:rsid w:val="00656D1E"/>
    <w:rsid w:val="00662C5F"/>
    <w:rsid w:val="006650D7"/>
    <w:rsid w:val="006766CC"/>
    <w:rsid w:val="006924C4"/>
    <w:rsid w:val="006936A2"/>
    <w:rsid w:val="006971C6"/>
    <w:rsid w:val="006D7E4D"/>
    <w:rsid w:val="006F0A44"/>
    <w:rsid w:val="006F5EBB"/>
    <w:rsid w:val="007248A3"/>
    <w:rsid w:val="007336F9"/>
    <w:rsid w:val="00742C69"/>
    <w:rsid w:val="00783BAD"/>
    <w:rsid w:val="007A02CE"/>
    <w:rsid w:val="007B3CF7"/>
    <w:rsid w:val="007D60DD"/>
    <w:rsid w:val="00815068"/>
    <w:rsid w:val="00816734"/>
    <w:rsid w:val="00822809"/>
    <w:rsid w:val="00830963"/>
    <w:rsid w:val="00834ED6"/>
    <w:rsid w:val="00856037"/>
    <w:rsid w:val="00876B6B"/>
    <w:rsid w:val="00876D6E"/>
    <w:rsid w:val="008854AA"/>
    <w:rsid w:val="008A4AAA"/>
    <w:rsid w:val="008A7835"/>
    <w:rsid w:val="008C5FEB"/>
    <w:rsid w:val="008D1C56"/>
    <w:rsid w:val="008D26E3"/>
    <w:rsid w:val="008F6E59"/>
    <w:rsid w:val="0095469C"/>
    <w:rsid w:val="00964943"/>
    <w:rsid w:val="009A2A3A"/>
    <w:rsid w:val="009B1AC1"/>
    <w:rsid w:val="009B2C90"/>
    <w:rsid w:val="009B7757"/>
    <w:rsid w:val="009D37B4"/>
    <w:rsid w:val="009F0B2A"/>
    <w:rsid w:val="00A00E85"/>
    <w:rsid w:val="00A17F2F"/>
    <w:rsid w:val="00A23802"/>
    <w:rsid w:val="00A24C77"/>
    <w:rsid w:val="00A42276"/>
    <w:rsid w:val="00A4662B"/>
    <w:rsid w:val="00A5183F"/>
    <w:rsid w:val="00A61547"/>
    <w:rsid w:val="00A63BB3"/>
    <w:rsid w:val="00A87EDF"/>
    <w:rsid w:val="00A923A5"/>
    <w:rsid w:val="00AA3D07"/>
    <w:rsid w:val="00AA6438"/>
    <w:rsid w:val="00AD08EA"/>
    <w:rsid w:val="00AD2FCB"/>
    <w:rsid w:val="00AF6720"/>
    <w:rsid w:val="00B40C50"/>
    <w:rsid w:val="00B42100"/>
    <w:rsid w:val="00B44886"/>
    <w:rsid w:val="00B55CB9"/>
    <w:rsid w:val="00B56602"/>
    <w:rsid w:val="00B66E6A"/>
    <w:rsid w:val="00B76CEA"/>
    <w:rsid w:val="00B873BB"/>
    <w:rsid w:val="00B91775"/>
    <w:rsid w:val="00B9667B"/>
    <w:rsid w:val="00BA7E73"/>
    <w:rsid w:val="00BB2FD1"/>
    <w:rsid w:val="00BB570E"/>
    <w:rsid w:val="00BC32B0"/>
    <w:rsid w:val="00BC4FCA"/>
    <w:rsid w:val="00BC7120"/>
    <w:rsid w:val="00BD2424"/>
    <w:rsid w:val="00BD34C8"/>
    <w:rsid w:val="00BE69CE"/>
    <w:rsid w:val="00BF0FDB"/>
    <w:rsid w:val="00BF5D55"/>
    <w:rsid w:val="00C01BC1"/>
    <w:rsid w:val="00C42F72"/>
    <w:rsid w:val="00C61D3E"/>
    <w:rsid w:val="00C67E84"/>
    <w:rsid w:val="00C707E7"/>
    <w:rsid w:val="00C76C38"/>
    <w:rsid w:val="00CB004E"/>
    <w:rsid w:val="00CB6E34"/>
    <w:rsid w:val="00CC560F"/>
    <w:rsid w:val="00CC65E0"/>
    <w:rsid w:val="00CD141B"/>
    <w:rsid w:val="00CF32B5"/>
    <w:rsid w:val="00CF5DB6"/>
    <w:rsid w:val="00D0168B"/>
    <w:rsid w:val="00D039C0"/>
    <w:rsid w:val="00D24F0E"/>
    <w:rsid w:val="00D4027B"/>
    <w:rsid w:val="00D53566"/>
    <w:rsid w:val="00D6185F"/>
    <w:rsid w:val="00D65F0E"/>
    <w:rsid w:val="00D71E8A"/>
    <w:rsid w:val="00D730FC"/>
    <w:rsid w:val="00D84920"/>
    <w:rsid w:val="00D942BB"/>
    <w:rsid w:val="00D95D63"/>
    <w:rsid w:val="00DD0D05"/>
    <w:rsid w:val="00DE3913"/>
    <w:rsid w:val="00DE47CA"/>
    <w:rsid w:val="00DE4EB0"/>
    <w:rsid w:val="00DE7A52"/>
    <w:rsid w:val="00DF7A1D"/>
    <w:rsid w:val="00E13CF0"/>
    <w:rsid w:val="00E163FB"/>
    <w:rsid w:val="00E22060"/>
    <w:rsid w:val="00E52CEA"/>
    <w:rsid w:val="00E52FA1"/>
    <w:rsid w:val="00E62C0E"/>
    <w:rsid w:val="00E70E00"/>
    <w:rsid w:val="00E73C44"/>
    <w:rsid w:val="00E84E5F"/>
    <w:rsid w:val="00EA025F"/>
    <w:rsid w:val="00EA1811"/>
    <w:rsid w:val="00EA55DF"/>
    <w:rsid w:val="00ED2F0B"/>
    <w:rsid w:val="00EE50E1"/>
    <w:rsid w:val="00EF1F61"/>
    <w:rsid w:val="00EF320C"/>
    <w:rsid w:val="00F007A3"/>
    <w:rsid w:val="00F246BC"/>
    <w:rsid w:val="00F24D5C"/>
    <w:rsid w:val="00F30595"/>
    <w:rsid w:val="00F353B4"/>
    <w:rsid w:val="00F3588E"/>
    <w:rsid w:val="00F46099"/>
    <w:rsid w:val="00F5351D"/>
    <w:rsid w:val="00F562FB"/>
    <w:rsid w:val="00F63924"/>
    <w:rsid w:val="00FE675D"/>
    <w:rsid w:val="00FE784F"/>
    <w:rsid w:val="01211538"/>
    <w:rsid w:val="01236393"/>
    <w:rsid w:val="024B7610"/>
    <w:rsid w:val="02904630"/>
    <w:rsid w:val="02DF2789"/>
    <w:rsid w:val="02ED0A04"/>
    <w:rsid w:val="03044238"/>
    <w:rsid w:val="032E23EC"/>
    <w:rsid w:val="033F73B5"/>
    <w:rsid w:val="03465690"/>
    <w:rsid w:val="03905C46"/>
    <w:rsid w:val="042F6008"/>
    <w:rsid w:val="047E57B2"/>
    <w:rsid w:val="05BB7856"/>
    <w:rsid w:val="05BF3393"/>
    <w:rsid w:val="06727787"/>
    <w:rsid w:val="067B3B7A"/>
    <w:rsid w:val="069A2713"/>
    <w:rsid w:val="06AE35CF"/>
    <w:rsid w:val="06C13C08"/>
    <w:rsid w:val="06F74948"/>
    <w:rsid w:val="072C602A"/>
    <w:rsid w:val="073519BE"/>
    <w:rsid w:val="07380211"/>
    <w:rsid w:val="077A62E2"/>
    <w:rsid w:val="079D0391"/>
    <w:rsid w:val="07CB6F04"/>
    <w:rsid w:val="07E32029"/>
    <w:rsid w:val="080B7E8E"/>
    <w:rsid w:val="084844DD"/>
    <w:rsid w:val="085942BE"/>
    <w:rsid w:val="088A0C63"/>
    <w:rsid w:val="08A04ACA"/>
    <w:rsid w:val="08A46BEC"/>
    <w:rsid w:val="08E43459"/>
    <w:rsid w:val="09937BB2"/>
    <w:rsid w:val="099C155C"/>
    <w:rsid w:val="09CC2BF4"/>
    <w:rsid w:val="09F474CA"/>
    <w:rsid w:val="0AB25B7A"/>
    <w:rsid w:val="0B574BAB"/>
    <w:rsid w:val="0BC91002"/>
    <w:rsid w:val="0C4D5D6A"/>
    <w:rsid w:val="0CD66D6A"/>
    <w:rsid w:val="0D933F56"/>
    <w:rsid w:val="0E3D5C14"/>
    <w:rsid w:val="0E494602"/>
    <w:rsid w:val="0E70774D"/>
    <w:rsid w:val="0E7116F8"/>
    <w:rsid w:val="0F4772C0"/>
    <w:rsid w:val="0F5B4A9F"/>
    <w:rsid w:val="0F776F49"/>
    <w:rsid w:val="10174485"/>
    <w:rsid w:val="10F6548A"/>
    <w:rsid w:val="11F44ABD"/>
    <w:rsid w:val="12241950"/>
    <w:rsid w:val="12261667"/>
    <w:rsid w:val="127861E7"/>
    <w:rsid w:val="12826B84"/>
    <w:rsid w:val="134748D0"/>
    <w:rsid w:val="13833D1E"/>
    <w:rsid w:val="13B84C83"/>
    <w:rsid w:val="13C56F60"/>
    <w:rsid w:val="13D36475"/>
    <w:rsid w:val="14B21B34"/>
    <w:rsid w:val="15257B77"/>
    <w:rsid w:val="15280FE9"/>
    <w:rsid w:val="15987F95"/>
    <w:rsid w:val="16044C16"/>
    <w:rsid w:val="170C48FB"/>
    <w:rsid w:val="176D24AC"/>
    <w:rsid w:val="176F0FF1"/>
    <w:rsid w:val="17832D68"/>
    <w:rsid w:val="17C46C28"/>
    <w:rsid w:val="17CC47A5"/>
    <w:rsid w:val="18514931"/>
    <w:rsid w:val="196F1DDF"/>
    <w:rsid w:val="19DB4F8D"/>
    <w:rsid w:val="1A485342"/>
    <w:rsid w:val="1A6770A7"/>
    <w:rsid w:val="1A902401"/>
    <w:rsid w:val="1A923EFD"/>
    <w:rsid w:val="1B6C03A2"/>
    <w:rsid w:val="1BF53D8E"/>
    <w:rsid w:val="1BF819CE"/>
    <w:rsid w:val="1C1C0289"/>
    <w:rsid w:val="1C7601C5"/>
    <w:rsid w:val="1C935EF8"/>
    <w:rsid w:val="1CA97AF2"/>
    <w:rsid w:val="1CB25BED"/>
    <w:rsid w:val="1CB41B1A"/>
    <w:rsid w:val="1CE90C78"/>
    <w:rsid w:val="1CEA21B3"/>
    <w:rsid w:val="1D3905C6"/>
    <w:rsid w:val="1D7A3BAE"/>
    <w:rsid w:val="1DB36191"/>
    <w:rsid w:val="1E107C25"/>
    <w:rsid w:val="1E4A7FBF"/>
    <w:rsid w:val="1E5C00D9"/>
    <w:rsid w:val="1EA13242"/>
    <w:rsid w:val="1EFC20F3"/>
    <w:rsid w:val="1F467594"/>
    <w:rsid w:val="1FEC1CBA"/>
    <w:rsid w:val="200B1359"/>
    <w:rsid w:val="20D80EBA"/>
    <w:rsid w:val="215A56A0"/>
    <w:rsid w:val="21B43BB0"/>
    <w:rsid w:val="21C126CD"/>
    <w:rsid w:val="21F96A6E"/>
    <w:rsid w:val="22496209"/>
    <w:rsid w:val="22DF060E"/>
    <w:rsid w:val="238D67B8"/>
    <w:rsid w:val="23EA355D"/>
    <w:rsid w:val="240259F0"/>
    <w:rsid w:val="2404542C"/>
    <w:rsid w:val="24C92EFB"/>
    <w:rsid w:val="25057336"/>
    <w:rsid w:val="25D82426"/>
    <w:rsid w:val="26A30BFD"/>
    <w:rsid w:val="26FF47D2"/>
    <w:rsid w:val="27213B35"/>
    <w:rsid w:val="2776089C"/>
    <w:rsid w:val="27BF0D76"/>
    <w:rsid w:val="27E00EE0"/>
    <w:rsid w:val="27E3346D"/>
    <w:rsid w:val="28142779"/>
    <w:rsid w:val="28E11679"/>
    <w:rsid w:val="29ED3037"/>
    <w:rsid w:val="2A515B4F"/>
    <w:rsid w:val="2AC55487"/>
    <w:rsid w:val="2B1954ED"/>
    <w:rsid w:val="2B352870"/>
    <w:rsid w:val="2B4C314F"/>
    <w:rsid w:val="2B56160A"/>
    <w:rsid w:val="2B89517F"/>
    <w:rsid w:val="2BB64D7D"/>
    <w:rsid w:val="2BF93154"/>
    <w:rsid w:val="2C1433C1"/>
    <w:rsid w:val="2CAA1E0C"/>
    <w:rsid w:val="2D35264F"/>
    <w:rsid w:val="2D3824E7"/>
    <w:rsid w:val="2D857649"/>
    <w:rsid w:val="2D8B0528"/>
    <w:rsid w:val="2E2A32A9"/>
    <w:rsid w:val="2E4134C1"/>
    <w:rsid w:val="2E760F0A"/>
    <w:rsid w:val="2F4F7EE0"/>
    <w:rsid w:val="2F7755CB"/>
    <w:rsid w:val="2FB900BA"/>
    <w:rsid w:val="2FE161B8"/>
    <w:rsid w:val="2FF37397"/>
    <w:rsid w:val="30106775"/>
    <w:rsid w:val="303C7BBD"/>
    <w:rsid w:val="30D23CB9"/>
    <w:rsid w:val="30D27E54"/>
    <w:rsid w:val="30E93A29"/>
    <w:rsid w:val="3188742F"/>
    <w:rsid w:val="31E3128D"/>
    <w:rsid w:val="33DF64D1"/>
    <w:rsid w:val="34251F61"/>
    <w:rsid w:val="343E5D9D"/>
    <w:rsid w:val="34851422"/>
    <w:rsid w:val="34931A5B"/>
    <w:rsid w:val="34DD0453"/>
    <w:rsid w:val="35171994"/>
    <w:rsid w:val="35EB08EF"/>
    <w:rsid w:val="35FC0AE7"/>
    <w:rsid w:val="360E6349"/>
    <w:rsid w:val="363D3CC1"/>
    <w:rsid w:val="36C839EE"/>
    <w:rsid w:val="36CD4E4A"/>
    <w:rsid w:val="379957E9"/>
    <w:rsid w:val="382D255F"/>
    <w:rsid w:val="38E13268"/>
    <w:rsid w:val="38F82860"/>
    <w:rsid w:val="39324622"/>
    <w:rsid w:val="398A2C9E"/>
    <w:rsid w:val="399455E7"/>
    <w:rsid w:val="3A014713"/>
    <w:rsid w:val="3A254190"/>
    <w:rsid w:val="3A352FBB"/>
    <w:rsid w:val="3A5178B3"/>
    <w:rsid w:val="3A806E2F"/>
    <w:rsid w:val="3AA05DA1"/>
    <w:rsid w:val="3AE072AA"/>
    <w:rsid w:val="3B27176D"/>
    <w:rsid w:val="3B572E86"/>
    <w:rsid w:val="3BA61585"/>
    <w:rsid w:val="3BF84B8E"/>
    <w:rsid w:val="3C4D200B"/>
    <w:rsid w:val="3E1F5C22"/>
    <w:rsid w:val="3E291779"/>
    <w:rsid w:val="3E830F89"/>
    <w:rsid w:val="3F0F71F9"/>
    <w:rsid w:val="3F4D44A2"/>
    <w:rsid w:val="3FE77B4C"/>
    <w:rsid w:val="401A4AC8"/>
    <w:rsid w:val="413A1A82"/>
    <w:rsid w:val="415A2CA6"/>
    <w:rsid w:val="41645C9E"/>
    <w:rsid w:val="41A17C1C"/>
    <w:rsid w:val="41D40AF0"/>
    <w:rsid w:val="42062F1F"/>
    <w:rsid w:val="422E642A"/>
    <w:rsid w:val="42BD295A"/>
    <w:rsid w:val="42CB4362"/>
    <w:rsid w:val="43217FE2"/>
    <w:rsid w:val="433B3FD3"/>
    <w:rsid w:val="436627E9"/>
    <w:rsid w:val="438350FA"/>
    <w:rsid w:val="4389215F"/>
    <w:rsid w:val="438C142D"/>
    <w:rsid w:val="4392006A"/>
    <w:rsid w:val="439D34CD"/>
    <w:rsid w:val="43B77EC0"/>
    <w:rsid w:val="43C3288C"/>
    <w:rsid w:val="43CD0555"/>
    <w:rsid w:val="43E90D2C"/>
    <w:rsid w:val="44025BF0"/>
    <w:rsid w:val="44174E3E"/>
    <w:rsid w:val="44DE5E1B"/>
    <w:rsid w:val="45A06CC5"/>
    <w:rsid w:val="45B346C6"/>
    <w:rsid w:val="45CC2E63"/>
    <w:rsid w:val="46BB791A"/>
    <w:rsid w:val="46CB52FC"/>
    <w:rsid w:val="46F0533D"/>
    <w:rsid w:val="47182A63"/>
    <w:rsid w:val="473712DF"/>
    <w:rsid w:val="47706A63"/>
    <w:rsid w:val="478E6B3E"/>
    <w:rsid w:val="485F038B"/>
    <w:rsid w:val="488D2675"/>
    <w:rsid w:val="49272AA2"/>
    <w:rsid w:val="49291172"/>
    <w:rsid w:val="49607176"/>
    <w:rsid w:val="496A1CFC"/>
    <w:rsid w:val="49935DD9"/>
    <w:rsid w:val="49A278CA"/>
    <w:rsid w:val="49A95F2D"/>
    <w:rsid w:val="49C52F9A"/>
    <w:rsid w:val="4A814816"/>
    <w:rsid w:val="4ADE3E07"/>
    <w:rsid w:val="4AEF5E82"/>
    <w:rsid w:val="4B3D1AE7"/>
    <w:rsid w:val="4B8511B1"/>
    <w:rsid w:val="4BB6088A"/>
    <w:rsid w:val="4BB827F5"/>
    <w:rsid w:val="4C187A31"/>
    <w:rsid w:val="4C734532"/>
    <w:rsid w:val="4C76314B"/>
    <w:rsid w:val="4DBD75E9"/>
    <w:rsid w:val="4E4674E6"/>
    <w:rsid w:val="4E567FF0"/>
    <w:rsid w:val="4E641FF3"/>
    <w:rsid w:val="4E7A5C30"/>
    <w:rsid w:val="4EB4472D"/>
    <w:rsid w:val="4EB87105"/>
    <w:rsid w:val="4EBD3D9B"/>
    <w:rsid w:val="4ECF3996"/>
    <w:rsid w:val="4EE4512B"/>
    <w:rsid w:val="4F4B58F0"/>
    <w:rsid w:val="4F9831FB"/>
    <w:rsid w:val="4FC263E1"/>
    <w:rsid w:val="4FCE68B0"/>
    <w:rsid w:val="50BE71A8"/>
    <w:rsid w:val="50D14F98"/>
    <w:rsid w:val="51370CE9"/>
    <w:rsid w:val="51C91180"/>
    <w:rsid w:val="52280F5E"/>
    <w:rsid w:val="529A26A4"/>
    <w:rsid w:val="52AE5D1F"/>
    <w:rsid w:val="52B92F0B"/>
    <w:rsid w:val="531A3FDA"/>
    <w:rsid w:val="534138E1"/>
    <w:rsid w:val="5381244C"/>
    <w:rsid w:val="53FA2113"/>
    <w:rsid w:val="540D038A"/>
    <w:rsid w:val="541C7414"/>
    <w:rsid w:val="5436759C"/>
    <w:rsid w:val="54ED5A51"/>
    <w:rsid w:val="550263DC"/>
    <w:rsid w:val="55C142CB"/>
    <w:rsid w:val="56582F22"/>
    <w:rsid w:val="56752DE7"/>
    <w:rsid w:val="568561B4"/>
    <w:rsid w:val="56892492"/>
    <w:rsid w:val="56A528B0"/>
    <w:rsid w:val="56C12B9A"/>
    <w:rsid w:val="575E3CF1"/>
    <w:rsid w:val="57B96B0F"/>
    <w:rsid w:val="57CD2AF8"/>
    <w:rsid w:val="58624883"/>
    <w:rsid w:val="5876656F"/>
    <w:rsid w:val="587C7EE0"/>
    <w:rsid w:val="589F323B"/>
    <w:rsid w:val="58AB230F"/>
    <w:rsid w:val="598B6800"/>
    <w:rsid w:val="5A6B2E98"/>
    <w:rsid w:val="5A782194"/>
    <w:rsid w:val="5AEC7300"/>
    <w:rsid w:val="5B1D3134"/>
    <w:rsid w:val="5B342FC7"/>
    <w:rsid w:val="5B4767B4"/>
    <w:rsid w:val="5B4A334D"/>
    <w:rsid w:val="5BF52CEA"/>
    <w:rsid w:val="5BFD230E"/>
    <w:rsid w:val="5CF82083"/>
    <w:rsid w:val="5DB57C4A"/>
    <w:rsid w:val="5DB829AA"/>
    <w:rsid w:val="5E6E706C"/>
    <w:rsid w:val="5E897730"/>
    <w:rsid w:val="5F7A40DF"/>
    <w:rsid w:val="603170D9"/>
    <w:rsid w:val="6070571A"/>
    <w:rsid w:val="6082112E"/>
    <w:rsid w:val="60CB750C"/>
    <w:rsid w:val="61407584"/>
    <w:rsid w:val="616F3B21"/>
    <w:rsid w:val="61F50E1D"/>
    <w:rsid w:val="6267759B"/>
    <w:rsid w:val="6351094F"/>
    <w:rsid w:val="64030C23"/>
    <w:rsid w:val="64490810"/>
    <w:rsid w:val="64830F47"/>
    <w:rsid w:val="64A1222E"/>
    <w:rsid w:val="64AD1728"/>
    <w:rsid w:val="650E4D44"/>
    <w:rsid w:val="654C2E98"/>
    <w:rsid w:val="65E55ECE"/>
    <w:rsid w:val="65F53B49"/>
    <w:rsid w:val="663452C2"/>
    <w:rsid w:val="66A3066B"/>
    <w:rsid w:val="670962DA"/>
    <w:rsid w:val="675516C4"/>
    <w:rsid w:val="67EF6DEB"/>
    <w:rsid w:val="6805707C"/>
    <w:rsid w:val="683109A4"/>
    <w:rsid w:val="68AA68C5"/>
    <w:rsid w:val="68D91DCB"/>
    <w:rsid w:val="68F20C83"/>
    <w:rsid w:val="690270D6"/>
    <w:rsid w:val="6A1243D0"/>
    <w:rsid w:val="6A80116D"/>
    <w:rsid w:val="6ABF23BE"/>
    <w:rsid w:val="6AEF6484"/>
    <w:rsid w:val="6B9F75F2"/>
    <w:rsid w:val="6BA95C3F"/>
    <w:rsid w:val="6C0747F6"/>
    <w:rsid w:val="6C1B5CDE"/>
    <w:rsid w:val="6C366899"/>
    <w:rsid w:val="6C544B8D"/>
    <w:rsid w:val="6C8D7596"/>
    <w:rsid w:val="6D1557FB"/>
    <w:rsid w:val="6D7C6692"/>
    <w:rsid w:val="6D800F13"/>
    <w:rsid w:val="6D9E7845"/>
    <w:rsid w:val="6DB50B89"/>
    <w:rsid w:val="6DE96E84"/>
    <w:rsid w:val="6E4659E5"/>
    <w:rsid w:val="6F230AE6"/>
    <w:rsid w:val="6F330E57"/>
    <w:rsid w:val="6F516FDD"/>
    <w:rsid w:val="6F6A0191"/>
    <w:rsid w:val="6F6A0FF6"/>
    <w:rsid w:val="6F933A87"/>
    <w:rsid w:val="6FF127E6"/>
    <w:rsid w:val="703219C2"/>
    <w:rsid w:val="70456C7B"/>
    <w:rsid w:val="709062C3"/>
    <w:rsid w:val="718309B8"/>
    <w:rsid w:val="71AA6732"/>
    <w:rsid w:val="72731832"/>
    <w:rsid w:val="727B0EE6"/>
    <w:rsid w:val="729B682C"/>
    <w:rsid w:val="72EC1F71"/>
    <w:rsid w:val="73397D9F"/>
    <w:rsid w:val="743A1952"/>
    <w:rsid w:val="74A34CB4"/>
    <w:rsid w:val="74BD6245"/>
    <w:rsid w:val="75984682"/>
    <w:rsid w:val="75F74078"/>
    <w:rsid w:val="76092BE5"/>
    <w:rsid w:val="76282D67"/>
    <w:rsid w:val="763B471A"/>
    <w:rsid w:val="76CB3BBF"/>
    <w:rsid w:val="76D56975"/>
    <w:rsid w:val="76E12730"/>
    <w:rsid w:val="776A409F"/>
    <w:rsid w:val="77CC60FC"/>
    <w:rsid w:val="782D432B"/>
    <w:rsid w:val="7857382F"/>
    <w:rsid w:val="78B73D00"/>
    <w:rsid w:val="799F10F9"/>
    <w:rsid w:val="79A11BA0"/>
    <w:rsid w:val="79B24598"/>
    <w:rsid w:val="79F43708"/>
    <w:rsid w:val="7A1B7E7C"/>
    <w:rsid w:val="7A5A2E35"/>
    <w:rsid w:val="7ACE7DC0"/>
    <w:rsid w:val="7B0B4915"/>
    <w:rsid w:val="7B1403BF"/>
    <w:rsid w:val="7B563005"/>
    <w:rsid w:val="7BA22CAA"/>
    <w:rsid w:val="7BD51865"/>
    <w:rsid w:val="7C0758D8"/>
    <w:rsid w:val="7C417202"/>
    <w:rsid w:val="7CC46E5B"/>
    <w:rsid w:val="7D1149E6"/>
    <w:rsid w:val="7D267787"/>
    <w:rsid w:val="7D3419F0"/>
    <w:rsid w:val="7D7904EA"/>
    <w:rsid w:val="7D9E5F6B"/>
    <w:rsid w:val="7DC85F2A"/>
    <w:rsid w:val="7E035DD3"/>
    <w:rsid w:val="7E430E21"/>
    <w:rsid w:val="7E770235"/>
    <w:rsid w:val="7EC7642F"/>
    <w:rsid w:val="7F2C3E45"/>
    <w:rsid w:val="7F3A2374"/>
    <w:rsid w:val="7FF7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FootnoteText"/>
    <w:qFormat/>
    <w:rsid w:val="001A74A6"/>
    <w:pPr>
      <w:widowControl w:val="0"/>
      <w:spacing w:line="580" w:lineRule="exact"/>
      <w:jc w:val="both"/>
    </w:pPr>
    <w:rPr>
      <w:rFonts w:ascii="仿宋_GB2312" w:eastAsia="仿宋_GB2312" w:hAnsi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A74A6"/>
    <w:pPr>
      <w:snapToGrid w:val="0"/>
      <w:jc w:val="left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仿宋_GB2312" w:eastAsia="仿宋_GB2312" w:hAnsi="Calibri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1A74A6"/>
    <w:pPr>
      <w:spacing w:line="240" w:lineRule="auto"/>
      <w:ind w:leftChars="2500" w:left="100"/>
    </w:pPr>
    <w:rPr>
      <w:rFonts w:ascii="Times New Roman" w:eastAsia="宋体" w:hAnsi="Times New Roman"/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A74A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A74A6"/>
    <w:pPr>
      <w:spacing w:line="240" w:lineRule="auto"/>
    </w:pPr>
    <w:rPr>
      <w:rFonts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4A6"/>
    <w:rPr>
      <w:rFonts w:ascii="仿宋_GB2312" w:eastAsia="仿宋_GB2312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1A74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74A6"/>
    <w:rPr>
      <w:rFonts w:ascii="仿宋_GB2312" w:eastAsia="仿宋_GB2312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1A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4A6"/>
    <w:rPr>
      <w:rFonts w:ascii="仿宋_GB2312" w:eastAsia="仿宋_GB2312" w:hAnsi="Calibri" w:cs="Times New Roman"/>
      <w:sz w:val="18"/>
    </w:rPr>
  </w:style>
  <w:style w:type="paragraph" w:styleId="NormalWeb">
    <w:name w:val="Normal (Web)"/>
    <w:basedOn w:val="Normal"/>
    <w:uiPriority w:val="99"/>
    <w:rsid w:val="001A74A6"/>
    <w:pPr>
      <w:widowControl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1A74A6"/>
    <w:rPr>
      <w:rFonts w:cs="Times New Roman"/>
    </w:rPr>
  </w:style>
  <w:style w:type="paragraph" w:customStyle="1" w:styleId="Char">
    <w:name w:val="Char"/>
    <w:basedOn w:val="Normal"/>
    <w:uiPriority w:val="99"/>
    <w:rsid w:val="001A74A6"/>
    <w:pPr>
      <w:spacing w:line="240" w:lineRule="auto"/>
    </w:pPr>
    <w:rPr>
      <w:rFonts w:ascii="Times New Roman" w:eastAsia="宋体" w:hAnsi="Times New Roman"/>
      <w:sz w:val="21"/>
      <w:szCs w:val="20"/>
    </w:rPr>
  </w:style>
  <w:style w:type="character" w:customStyle="1" w:styleId="Char1">
    <w:name w:val="日期 Char1"/>
    <w:basedOn w:val="DefaultParagraphFont"/>
    <w:uiPriority w:val="99"/>
    <w:semiHidden/>
    <w:rsid w:val="001A74A6"/>
    <w:rPr>
      <w:rFonts w:ascii="仿宋_GB2312" w:eastAsia="仿宋_GB2312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685</Words>
  <Characters>3907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微软中国</cp:lastModifiedBy>
  <cp:revision>22</cp:revision>
  <cp:lastPrinted>2020-04-02T03:10:00Z</cp:lastPrinted>
  <dcterms:created xsi:type="dcterms:W3CDTF">2019-04-15T01:57:00Z</dcterms:created>
  <dcterms:modified xsi:type="dcterms:W3CDTF">2021-05-25T08:09:00Z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475210532_btnclosed</vt:lpwstr>
  </property>
  <property fmtid="{D5CDD505-2E9C-101B-9397-08002B2CF9AE}" pid="4" name="ICV">
    <vt:lpwstr>3B6853A410984F9AA9EFE2B0B41C5DD3</vt:lpwstr>
  </property>
</Properties>
</file>