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楷体_GB2312"/>
        </w:rPr>
      </w:pPr>
      <w:r>
        <w:rPr>
          <w:rFonts w:hint="eastAsia" w:ascii="Times New Roman" w:hAnsi="Times New Roman" w:eastAsia="楷体_GB2312"/>
        </w:rPr>
        <w:t>附件4</w:t>
      </w:r>
    </w:p>
    <w:p>
      <w:pPr>
        <w:widowControl/>
        <w:spacing w:line="240" w:lineRule="auto"/>
        <w:ind w:left="91"/>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 xml:space="preserve">  </w:t>
      </w:r>
      <w:r>
        <w:rPr>
          <w:rFonts w:ascii="Times New Roman" w:hAnsi="Times New Roman" w:eastAsia="方正小标宋简体"/>
          <w:kern w:val="0"/>
          <w:sz w:val="44"/>
          <w:szCs w:val="44"/>
          <w:u w:val="single"/>
        </w:rPr>
        <w:t xml:space="preserve"> </w:t>
      </w:r>
      <w:r>
        <w:rPr>
          <w:rFonts w:hint="eastAsia" w:eastAsia="方正小标宋简体"/>
          <w:kern w:val="0"/>
          <w:sz w:val="44"/>
          <w:szCs w:val="44"/>
          <w:u w:val="single"/>
          <w:lang w:eastAsia="zh-CN"/>
        </w:rPr>
        <w:t>长沙市望城区交通运输局</w:t>
      </w:r>
      <w:r>
        <w:rPr>
          <w:rFonts w:ascii="Times New Roman" w:hAnsi="Times New Roman" w:eastAsia="方正小标宋简体"/>
          <w:kern w:val="0"/>
          <w:sz w:val="44"/>
          <w:szCs w:val="44"/>
          <w:u w:val="single"/>
        </w:rPr>
        <w:t xml:space="preserve"> </w:t>
      </w:r>
      <w:r>
        <w:rPr>
          <w:rFonts w:hint="eastAsia" w:ascii="Times New Roman" w:hAnsi="Times New Roman" w:eastAsia="方正小标宋简体"/>
          <w:kern w:val="0"/>
          <w:sz w:val="44"/>
          <w:szCs w:val="44"/>
        </w:rPr>
        <w:t>部门整体支出绩效评价自评表</w:t>
      </w:r>
    </w:p>
    <w:tbl>
      <w:tblPr>
        <w:tblStyle w:val="6"/>
        <w:tblW w:w="11060" w:type="dxa"/>
        <w:jc w:val="center"/>
        <w:tblInd w:w="0" w:type="dxa"/>
        <w:tblLayout w:type="fixed"/>
        <w:tblCellMar>
          <w:top w:w="0" w:type="dxa"/>
          <w:left w:w="108" w:type="dxa"/>
          <w:bottom w:w="0" w:type="dxa"/>
          <w:right w:w="108" w:type="dxa"/>
        </w:tblCellMar>
      </w:tblPr>
      <w:tblGrid>
        <w:gridCol w:w="648"/>
        <w:gridCol w:w="416"/>
        <w:gridCol w:w="673"/>
        <w:gridCol w:w="416"/>
        <w:gridCol w:w="1072"/>
        <w:gridCol w:w="416"/>
        <w:gridCol w:w="2474"/>
        <w:gridCol w:w="3003"/>
        <w:gridCol w:w="637"/>
        <w:gridCol w:w="1305"/>
      </w:tblGrid>
      <w:tr>
        <w:tblPrEx>
          <w:tblLayout w:type="fixed"/>
          <w:tblCellMar>
            <w:top w:w="0" w:type="dxa"/>
            <w:left w:w="108" w:type="dxa"/>
            <w:bottom w:w="0" w:type="dxa"/>
            <w:right w:w="108" w:type="dxa"/>
          </w:tblCellMar>
        </w:tblPrEx>
        <w:trPr>
          <w:trHeight w:val="483" w:hRule="atLeast"/>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6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三级</w:t>
            </w:r>
          </w:p>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247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评价标准</w:t>
            </w:r>
          </w:p>
        </w:tc>
        <w:tc>
          <w:tcPr>
            <w:tcW w:w="300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w:t>
            </w:r>
          </w:p>
        </w:tc>
        <w:tc>
          <w:tcPr>
            <w:tcW w:w="1305" w:type="dxa"/>
            <w:tcBorders>
              <w:top w:val="single" w:color="auto" w:sz="4" w:space="0"/>
              <w:left w:val="nil"/>
              <w:bottom w:val="single" w:color="auto" w:sz="4" w:space="0"/>
              <w:right w:val="single" w:color="auto" w:sz="4" w:space="0"/>
            </w:tcBorders>
          </w:tcPr>
          <w:p>
            <w:pPr>
              <w:widowControl/>
              <w:spacing w:line="280" w:lineRule="exact"/>
              <w:jc w:val="center"/>
              <w:rPr>
                <w:rFonts w:hint="eastAsia" w:ascii="Times New Roman" w:hAnsi="Times New Roman" w:eastAsia="仿宋_GB2312"/>
                <w:kern w:val="0"/>
                <w:sz w:val="20"/>
                <w:szCs w:val="20"/>
                <w:lang w:eastAsia="zh-CN"/>
              </w:rPr>
            </w:pPr>
            <w:r>
              <w:rPr>
                <w:rFonts w:hint="eastAsia" w:ascii="Times New Roman" w:hAnsi="Times New Roman"/>
                <w:color w:val="FF0000"/>
                <w:kern w:val="0"/>
                <w:sz w:val="20"/>
                <w:szCs w:val="20"/>
              </w:rPr>
              <w:t>得分依据</w:t>
            </w:r>
            <w:bookmarkStart w:id="0" w:name="_GoBack"/>
            <w:bookmarkEnd w:id="0"/>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673" w:type="dxa"/>
            <w:vMerge w:val="restart"/>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474" w:type="dxa"/>
            <w:tcBorders>
              <w:top w:val="nil"/>
              <w:left w:val="nil"/>
              <w:bottom w:val="nil"/>
              <w:right w:val="nil"/>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以</w:t>
            </w:r>
            <w:r>
              <w:rPr>
                <w:rFonts w:ascii="Times New Roman" w:hAnsi="Times New Roman"/>
                <w:kern w:val="0"/>
                <w:sz w:val="20"/>
                <w:szCs w:val="20"/>
              </w:rPr>
              <w:t>100%</w:t>
            </w:r>
            <w:r>
              <w:rPr>
                <w:rFonts w:hint="eastAsia" w:ascii="Times New Roman" w:hAnsi="Times New Roman"/>
                <w:kern w:val="0"/>
                <w:sz w:val="20"/>
                <w:szCs w:val="20"/>
              </w:rPr>
              <w:t>为标准。在职人员控制率</w:t>
            </w:r>
            <w:r>
              <w:rPr>
                <w:rFonts w:hint="eastAsia" w:ascii="宋体" w:hAnsi="宋体" w:eastAsia="宋体" w:cs="宋体"/>
                <w:kern w:val="0"/>
                <w:sz w:val="20"/>
                <w:szCs w:val="20"/>
              </w:rPr>
              <w:t>≦</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003"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在职人员控制率</w:t>
            </w:r>
            <w:r>
              <w:rPr>
                <w:rFonts w:ascii="Times New Roman" w:hAnsi="Times New Roman"/>
                <w:kern w:val="0"/>
                <w:sz w:val="20"/>
                <w:szCs w:val="20"/>
              </w:rPr>
              <w:t>=</w:t>
            </w:r>
            <w:r>
              <w:rPr>
                <w:rFonts w:hint="eastAsia" w:ascii="Times New Roman" w:hAnsi="Times New Roman"/>
                <w:kern w:val="0"/>
                <w:sz w:val="20"/>
                <w:szCs w:val="20"/>
              </w:rPr>
              <w:t>（在职人员数</w:t>
            </w:r>
            <w:r>
              <w:rPr>
                <w:rFonts w:ascii="Times New Roman" w:hAnsi="Times New Roman"/>
                <w:kern w:val="0"/>
                <w:sz w:val="20"/>
                <w:szCs w:val="20"/>
              </w:rPr>
              <w:t>/</w:t>
            </w:r>
            <w:r>
              <w:rPr>
                <w:rFonts w:hint="eastAsia" w:ascii="Times New Roman" w:hAnsi="Times New Roman"/>
                <w:kern w:val="0"/>
                <w:sz w:val="20"/>
                <w:szCs w:val="20"/>
              </w:rPr>
              <w:t>编制数）</w:t>
            </w:r>
            <w:r>
              <w:rPr>
                <w:rFonts w:ascii="Times New Roman" w:hAnsi="Times New Roman"/>
                <w:kern w:val="0"/>
                <w:sz w:val="20"/>
                <w:szCs w:val="20"/>
              </w:rPr>
              <w:t>×100%</w:t>
            </w:r>
            <w:r>
              <w:rPr>
                <w:rFonts w:hint="eastAsia" w:ascii="Times New Roman" w:hAnsi="Times New Roman"/>
                <w:kern w:val="0"/>
                <w:sz w:val="20"/>
                <w:szCs w:val="20"/>
              </w:rPr>
              <w:t>，在职人员数：部门（单位）实际在职人数。</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　</w:t>
            </w:r>
            <w:r>
              <w:rPr>
                <w:rFonts w:hint="eastAsia" w:eastAsia="仿宋_GB2312"/>
                <w:kern w:val="0"/>
                <w:sz w:val="24"/>
                <w:lang w:val="en-US" w:eastAsia="zh-CN"/>
              </w:rPr>
              <w:t>5</w:t>
            </w:r>
          </w:p>
        </w:tc>
        <w:tc>
          <w:tcPr>
            <w:tcW w:w="1305" w:type="dxa"/>
            <w:tcBorders>
              <w:top w:val="nil"/>
              <w:left w:val="nil"/>
              <w:bottom w:val="single" w:color="auto" w:sz="4" w:space="0"/>
              <w:right w:val="single" w:color="auto" w:sz="4" w:space="0"/>
            </w:tcBorders>
          </w:tcPr>
          <w:p>
            <w:pPr>
              <w:widowControl/>
              <w:spacing w:line="280" w:lineRule="exact"/>
              <w:jc w:val="left"/>
              <w:rPr>
                <w:rFonts w:hint="default" w:asciiTheme="majorEastAsia" w:hAnsiTheme="majorEastAsia" w:eastAsiaTheme="majorEastAsia" w:cstheme="majorEastAsia"/>
                <w:kern w:val="0"/>
                <w:sz w:val="15"/>
                <w:szCs w:val="15"/>
                <w:lang w:val="en-US" w:eastAsia="zh-CN"/>
              </w:rPr>
            </w:pPr>
            <w:r>
              <w:rPr>
                <w:rFonts w:hint="eastAsia" w:asciiTheme="majorEastAsia" w:hAnsiTheme="majorEastAsia" w:eastAsiaTheme="majorEastAsia" w:cstheme="majorEastAsia"/>
                <w:kern w:val="0"/>
                <w:sz w:val="15"/>
                <w:szCs w:val="15"/>
              </w:rPr>
              <w:t>望政办发</w:t>
            </w:r>
            <w:r>
              <w:rPr>
                <w:rFonts w:hint="eastAsia" w:asciiTheme="majorEastAsia" w:hAnsiTheme="majorEastAsia" w:eastAsiaTheme="majorEastAsia" w:cstheme="majorEastAsia"/>
                <w:kern w:val="0"/>
                <w:sz w:val="15"/>
                <w:szCs w:val="15"/>
                <w:lang w:eastAsia="zh-CN"/>
              </w:rPr>
              <w:t>[</w:t>
            </w:r>
            <w:r>
              <w:rPr>
                <w:rFonts w:hint="eastAsia" w:asciiTheme="majorEastAsia" w:hAnsiTheme="majorEastAsia" w:eastAsiaTheme="majorEastAsia" w:cstheme="majorEastAsia"/>
                <w:kern w:val="0"/>
                <w:sz w:val="15"/>
                <w:szCs w:val="15"/>
              </w:rPr>
              <w:t>2017</w:t>
            </w:r>
            <w:r>
              <w:rPr>
                <w:rFonts w:hint="eastAsia" w:asciiTheme="majorEastAsia" w:hAnsiTheme="majorEastAsia" w:eastAsiaTheme="majorEastAsia" w:cstheme="majorEastAsia"/>
                <w:kern w:val="0"/>
                <w:sz w:val="15"/>
                <w:szCs w:val="15"/>
                <w:lang w:eastAsia="zh-CN"/>
              </w:rPr>
              <w:t>]</w:t>
            </w:r>
            <w:r>
              <w:rPr>
                <w:rFonts w:hint="eastAsia" w:asciiTheme="majorEastAsia" w:hAnsiTheme="majorEastAsia" w:eastAsiaTheme="majorEastAsia" w:cstheme="majorEastAsia"/>
                <w:kern w:val="0"/>
                <w:sz w:val="15"/>
                <w:szCs w:val="15"/>
              </w:rPr>
              <w:t>76号</w:t>
            </w:r>
            <w:r>
              <w:rPr>
                <w:rFonts w:hint="eastAsia" w:asciiTheme="majorEastAsia" w:hAnsiTheme="majorEastAsia" w:eastAsiaTheme="majorEastAsia" w:cstheme="majorEastAsia"/>
                <w:kern w:val="0"/>
                <w:sz w:val="15"/>
                <w:szCs w:val="15"/>
                <w:lang w:eastAsia="zh-CN"/>
              </w:rPr>
              <w:t>及</w:t>
            </w:r>
            <w:r>
              <w:rPr>
                <w:rFonts w:hint="eastAsia" w:asciiTheme="majorEastAsia" w:hAnsiTheme="majorEastAsia" w:eastAsiaTheme="majorEastAsia" w:cstheme="majorEastAsia"/>
                <w:kern w:val="0"/>
                <w:sz w:val="15"/>
                <w:szCs w:val="15"/>
                <w:lang w:val="en-US" w:eastAsia="zh-CN"/>
              </w:rPr>
              <w:t>18年10月审定机关事业机构编制实名制审批表161/177</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变动率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47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hint="eastAsia" w:ascii="宋体" w:hAnsi="宋体" w:eastAsia="宋体" w:cs="宋体"/>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8</w:t>
            </w:r>
            <w:r>
              <w:rPr>
                <w:rFonts w:hint="eastAsia" w:ascii="Times New Roman" w:hAnsi="Times New Roman"/>
                <w:kern w:val="0"/>
                <w:sz w:val="20"/>
                <w:szCs w:val="20"/>
              </w:rPr>
              <w:t>分；</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，每超过一个百分点扣</w:t>
            </w:r>
            <w:r>
              <w:rPr>
                <w:rFonts w:ascii="Times New Roman" w:hAnsi="Times New Roman"/>
                <w:kern w:val="0"/>
                <w:sz w:val="20"/>
                <w:szCs w:val="20"/>
              </w:rPr>
              <w:t>0.8</w:t>
            </w:r>
            <w:r>
              <w:rPr>
                <w:rFonts w:hint="eastAsia" w:ascii="Times New Roman" w:hAnsi="Times New Roman"/>
                <w:kern w:val="0"/>
                <w:sz w:val="20"/>
                <w:szCs w:val="20"/>
              </w:rPr>
              <w:t>分，扣完为止。</w:t>
            </w:r>
          </w:p>
        </w:tc>
        <w:tc>
          <w:tcPr>
            <w:tcW w:w="300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rPr>
              <w:t>（本年度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0"/>
                <w:szCs w:val="20"/>
                <w:lang w:val="en-US" w:eastAsia="zh-CN"/>
              </w:rPr>
              <w:t>7.2</w:t>
            </w:r>
          </w:p>
        </w:tc>
        <w:tc>
          <w:tcPr>
            <w:tcW w:w="1305" w:type="dxa"/>
            <w:tcBorders>
              <w:top w:val="nil"/>
              <w:left w:val="nil"/>
              <w:bottom w:val="single" w:color="auto" w:sz="4" w:space="0"/>
              <w:right w:val="single" w:color="auto" w:sz="4" w:space="0"/>
            </w:tcBorders>
          </w:tcPr>
          <w:p>
            <w:pPr>
              <w:widowControl/>
              <w:spacing w:line="280" w:lineRule="exact"/>
              <w:jc w:val="left"/>
              <w:rPr>
                <w:rFonts w:hint="eastAsia" w:asciiTheme="majorEastAsia" w:hAnsiTheme="majorEastAsia" w:eastAsiaTheme="majorEastAsia" w:cstheme="majorEastAsia"/>
                <w:kern w:val="0"/>
                <w:sz w:val="15"/>
                <w:szCs w:val="15"/>
                <w:lang w:val="en-US" w:eastAsia="zh-CN"/>
              </w:rPr>
            </w:pPr>
            <w:r>
              <w:rPr>
                <w:rFonts w:hint="eastAsia" w:asciiTheme="majorEastAsia" w:hAnsiTheme="majorEastAsia" w:eastAsiaTheme="majorEastAsia" w:cstheme="majorEastAsia"/>
                <w:kern w:val="0"/>
                <w:sz w:val="15"/>
                <w:szCs w:val="15"/>
                <w:lang w:val="en-US" w:eastAsia="zh-CN"/>
              </w:rPr>
              <w:t>因机构变动18年新增执法车辆基及公路局人员调入交通局</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20</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完成率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47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计满分，每低于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00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预算完成率</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年末结余</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Times New Roman"/>
                <w:kern w:val="0"/>
                <w:sz w:val="20"/>
                <w:szCs w:val="20"/>
              </w:rPr>
              <w:t>5</w:t>
            </w:r>
          </w:p>
        </w:tc>
        <w:tc>
          <w:tcPr>
            <w:tcW w:w="1305" w:type="dxa"/>
            <w:tcBorders>
              <w:top w:val="nil"/>
              <w:left w:val="nil"/>
              <w:bottom w:val="single" w:color="auto" w:sz="4" w:space="0"/>
              <w:right w:val="single" w:color="auto" w:sz="4" w:space="0"/>
            </w:tcBorders>
          </w:tcPr>
          <w:p>
            <w:pPr>
              <w:widowControl/>
              <w:spacing w:line="280" w:lineRule="exact"/>
              <w:jc w:val="left"/>
              <w:rPr>
                <w:rFonts w:hint="eastAsia" w:asciiTheme="majorEastAsia" w:hAnsiTheme="majorEastAsia" w:eastAsiaTheme="majorEastAsia" w:cstheme="majorEastAsia"/>
                <w:kern w:val="0"/>
                <w:sz w:val="15"/>
                <w:szCs w:val="15"/>
              </w:rPr>
            </w:pPr>
          </w:p>
        </w:tc>
      </w:tr>
      <w:tr>
        <w:tblPrEx>
          <w:tblLayout w:type="fixed"/>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47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w:t>
            </w:r>
            <w:r>
              <w:rPr>
                <w:rFonts w:ascii="Times New Roman" w:hAnsi="Times New Roman"/>
                <w:kern w:val="0"/>
                <w:sz w:val="20"/>
                <w:szCs w:val="20"/>
              </w:rPr>
              <w:t>0-10%</w:t>
            </w:r>
            <w:r>
              <w:rPr>
                <w:rFonts w:hint="eastAsia" w:ascii="Times New Roman" w:hAnsi="Times New Roman"/>
                <w:kern w:val="0"/>
                <w:sz w:val="20"/>
                <w:szCs w:val="20"/>
              </w:rPr>
              <w:t>（含），计</w:t>
            </w:r>
            <w:r>
              <w:rPr>
                <w:rFonts w:ascii="Times New Roman" w:hAnsi="Times New Roman"/>
                <w:kern w:val="0"/>
                <w:sz w:val="20"/>
                <w:szCs w:val="20"/>
              </w:rPr>
              <w:t>4</w:t>
            </w:r>
            <w:r>
              <w:rPr>
                <w:rFonts w:hint="eastAsia" w:ascii="Times New Roman" w:hAnsi="Times New Roman"/>
                <w:kern w:val="0"/>
                <w:sz w:val="20"/>
                <w:szCs w:val="20"/>
              </w:rPr>
              <w:t>分；</w:t>
            </w:r>
            <w:r>
              <w:rPr>
                <w:rFonts w:ascii="Times New Roman" w:hAnsi="Times New Roman"/>
                <w:kern w:val="0"/>
                <w:sz w:val="20"/>
                <w:szCs w:val="20"/>
              </w:rPr>
              <w:t>10-20%</w:t>
            </w:r>
            <w:r>
              <w:rPr>
                <w:rFonts w:hint="eastAsia" w:ascii="Times New Roman" w:hAnsi="Times New Roman"/>
                <w:kern w:val="0"/>
                <w:sz w:val="20"/>
                <w:szCs w:val="20"/>
              </w:rPr>
              <w:t>（含），计</w:t>
            </w:r>
            <w:r>
              <w:rPr>
                <w:rFonts w:ascii="Times New Roman" w:hAnsi="Times New Roman"/>
                <w:kern w:val="0"/>
                <w:sz w:val="20"/>
                <w:szCs w:val="20"/>
              </w:rPr>
              <w:t>3</w:t>
            </w:r>
            <w:r>
              <w:rPr>
                <w:rFonts w:hint="eastAsia" w:ascii="Times New Roman" w:hAnsi="Times New Roman"/>
                <w:kern w:val="0"/>
                <w:sz w:val="20"/>
                <w:szCs w:val="20"/>
              </w:rPr>
              <w:t>分；</w:t>
            </w:r>
            <w:r>
              <w:rPr>
                <w:rFonts w:ascii="Times New Roman" w:hAnsi="Times New Roman"/>
                <w:kern w:val="0"/>
                <w:sz w:val="20"/>
                <w:szCs w:val="20"/>
              </w:rPr>
              <w:t>20-30%</w:t>
            </w:r>
            <w:r>
              <w:rPr>
                <w:rFonts w:hint="eastAsia" w:ascii="Times New Roman" w:hAnsi="Times New Roman"/>
                <w:kern w:val="0"/>
                <w:sz w:val="20"/>
                <w:szCs w:val="20"/>
              </w:rPr>
              <w:t>（含），计</w:t>
            </w:r>
            <w:r>
              <w:rPr>
                <w:rFonts w:ascii="Times New Roman" w:hAnsi="Times New Roman"/>
                <w:kern w:val="0"/>
                <w:sz w:val="20"/>
                <w:szCs w:val="20"/>
              </w:rPr>
              <w:t>2</w:t>
            </w:r>
            <w:r>
              <w:rPr>
                <w:rFonts w:hint="eastAsia" w:ascii="Times New Roman" w:hAnsi="Times New Roman"/>
                <w:kern w:val="0"/>
                <w:sz w:val="20"/>
                <w:szCs w:val="20"/>
              </w:rPr>
              <w:t>分；大于</w:t>
            </w:r>
            <w:r>
              <w:rPr>
                <w:rFonts w:ascii="Times New Roman" w:hAnsi="Times New Roman"/>
                <w:kern w:val="0"/>
                <w:sz w:val="20"/>
                <w:szCs w:val="20"/>
              </w:rPr>
              <w:t>30%</w:t>
            </w:r>
            <w:r>
              <w:rPr>
                <w:rFonts w:hint="eastAsia" w:ascii="Times New Roman" w:hAnsi="Times New Roman"/>
                <w:kern w:val="0"/>
                <w:sz w:val="20"/>
                <w:szCs w:val="20"/>
              </w:rPr>
              <w:t>不得分</w:t>
            </w:r>
          </w:p>
        </w:tc>
        <w:tc>
          <w:tcPr>
            <w:tcW w:w="300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Times New Roman"/>
                <w:kern w:val="0"/>
                <w:sz w:val="20"/>
                <w:szCs w:val="20"/>
              </w:rPr>
              <w:t>5</w:t>
            </w:r>
          </w:p>
        </w:tc>
        <w:tc>
          <w:tcPr>
            <w:tcW w:w="1305" w:type="dxa"/>
            <w:tcBorders>
              <w:top w:val="nil"/>
              <w:left w:val="nil"/>
              <w:bottom w:val="single" w:color="auto" w:sz="4" w:space="0"/>
              <w:right w:val="single" w:color="auto" w:sz="4" w:space="0"/>
            </w:tcBorders>
          </w:tcPr>
          <w:p>
            <w:pPr>
              <w:widowControl/>
              <w:spacing w:line="280" w:lineRule="exact"/>
              <w:jc w:val="left"/>
              <w:rPr>
                <w:rFonts w:hint="eastAsia" w:asciiTheme="majorEastAsia" w:hAnsiTheme="majorEastAsia" w:eastAsiaTheme="majorEastAsia" w:cstheme="majorEastAsia"/>
                <w:kern w:val="0"/>
                <w:sz w:val="15"/>
                <w:szCs w:val="15"/>
              </w:rPr>
            </w:pPr>
          </w:p>
        </w:tc>
      </w:tr>
      <w:tr>
        <w:tblPrEx>
          <w:tblLayout w:type="fixed"/>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47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分，扣完为止。没有楼梯馆所项目的部门按满分计算</w:t>
            </w:r>
          </w:p>
        </w:tc>
        <w:tc>
          <w:tcPr>
            <w:tcW w:w="300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楼堂馆所面积控制率</w:t>
            </w:r>
            <w:r>
              <w:rPr>
                <w:rFonts w:ascii="Times New Roman" w:hAnsi="Times New Roman"/>
                <w:kern w:val="0"/>
                <w:sz w:val="20"/>
                <w:szCs w:val="20"/>
              </w:rPr>
              <w:t>=</w:t>
            </w:r>
            <w:r>
              <w:rPr>
                <w:rFonts w:hint="eastAsia" w:ascii="Times New Roman" w:hAnsi="Times New Roman"/>
                <w:kern w:val="0"/>
                <w:sz w:val="20"/>
                <w:szCs w:val="20"/>
              </w:rPr>
              <w:t>实际建设面积</w:t>
            </w:r>
            <w:r>
              <w:rPr>
                <w:rFonts w:ascii="Times New Roman" w:hAnsi="Times New Roman"/>
                <w:kern w:val="0"/>
                <w:sz w:val="20"/>
                <w:szCs w:val="20"/>
              </w:rPr>
              <w:t>/</w:t>
            </w:r>
            <w:r>
              <w:rPr>
                <w:rFonts w:hint="eastAsia" w:ascii="Times New Roman" w:hAnsi="Times New Roman"/>
                <w:kern w:val="0"/>
                <w:sz w:val="20"/>
                <w:szCs w:val="20"/>
              </w:rPr>
              <w:t>批准建设面积</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Times New Roman"/>
                <w:kern w:val="0"/>
                <w:sz w:val="20"/>
                <w:szCs w:val="20"/>
              </w:rPr>
              <w:t>5</w:t>
            </w:r>
          </w:p>
        </w:tc>
        <w:tc>
          <w:tcPr>
            <w:tcW w:w="1305" w:type="dxa"/>
            <w:tcBorders>
              <w:top w:val="nil"/>
              <w:left w:val="nil"/>
              <w:bottom w:val="single" w:color="auto" w:sz="4" w:space="0"/>
              <w:right w:val="single" w:color="auto" w:sz="4" w:space="0"/>
            </w:tcBorders>
          </w:tcPr>
          <w:p>
            <w:pPr>
              <w:widowControl/>
              <w:spacing w:line="280" w:lineRule="exact"/>
              <w:jc w:val="left"/>
              <w:rPr>
                <w:rFonts w:hint="eastAsia" w:asciiTheme="majorEastAsia" w:hAnsiTheme="majorEastAsia" w:eastAsiaTheme="majorEastAsia" w:cstheme="majorEastAsia"/>
                <w:kern w:val="0"/>
                <w:sz w:val="15"/>
                <w:szCs w:val="15"/>
              </w:rPr>
            </w:pPr>
          </w:p>
        </w:tc>
      </w:tr>
      <w:tr>
        <w:tblPrEx>
          <w:tblLayout w:type="fixed"/>
          <w:tblCellMar>
            <w:top w:w="0" w:type="dxa"/>
            <w:left w:w="108" w:type="dxa"/>
            <w:bottom w:w="0" w:type="dxa"/>
            <w:right w:w="108" w:type="dxa"/>
          </w:tblCellMar>
        </w:tblPrEx>
        <w:trPr>
          <w:trHeight w:val="1115"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47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00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楼堂馆所投资预算控制率</w:t>
            </w:r>
            <w:r>
              <w:rPr>
                <w:rFonts w:ascii="Times New Roman" w:hAnsi="Times New Roman"/>
                <w:kern w:val="0"/>
                <w:sz w:val="20"/>
                <w:szCs w:val="20"/>
              </w:rPr>
              <w:t>=</w:t>
            </w:r>
            <w:r>
              <w:rPr>
                <w:rFonts w:hint="eastAsia" w:ascii="Times New Roman" w:hAnsi="Times New Roman"/>
                <w:kern w:val="0"/>
                <w:sz w:val="20"/>
                <w:szCs w:val="20"/>
              </w:rPr>
              <w:t>实际投资金额</w:t>
            </w:r>
            <w:r>
              <w:rPr>
                <w:rFonts w:ascii="Times New Roman" w:hAnsi="Times New Roman"/>
                <w:kern w:val="0"/>
                <w:sz w:val="20"/>
                <w:szCs w:val="20"/>
              </w:rPr>
              <w:t>/</w:t>
            </w:r>
            <w:r>
              <w:rPr>
                <w:rFonts w:hint="eastAsia" w:ascii="Times New Roman" w:hAnsi="Times New Roman"/>
                <w:kern w:val="0"/>
                <w:sz w:val="20"/>
                <w:szCs w:val="20"/>
              </w:rPr>
              <w:t>批准投资金额</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Times New Roman"/>
                <w:kern w:val="0"/>
                <w:sz w:val="20"/>
                <w:szCs w:val="20"/>
              </w:rPr>
              <w:t>5</w:t>
            </w:r>
          </w:p>
        </w:tc>
        <w:tc>
          <w:tcPr>
            <w:tcW w:w="1305" w:type="dxa"/>
            <w:tcBorders>
              <w:top w:val="nil"/>
              <w:left w:val="nil"/>
              <w:bottom w:val="single" w:color="auto" w:sz="4" w:space="0"/>
              <w:right w:val="single" w:color="auto" w:sz="4" w:space="0"/>
            </w:tcBorders>
          </w:tcPr>
          <w:p>
            <w:pPr>
              <w:widowControl/>
              <w:spacing w:line="280" w:lineRule="exact"/>
              <w:jc w:val="left"/>
              <w:rPr>
                <w:rFonts w:hint="eastAsia" w:asciiTheme="majorEastAsia" w:hAnsiTheme="majorEastAsia" w:eastAsiaTheme="majorEastAsia" w:cstheme="majorEastAsia"/>
                <w:kern w:val="0"/>
                <w:sz w:val="15"/>
                <w:szCs w:val="15"/>
              </w:rPr>
            </w:pPr>
          </w:p>
        </w:tc>
      </w:tr>
      <w:tr>
        <w:tblPrEx>
          <w:tblLayout w:type="fixed"/>
          <w:tblCellMar>
            <w:top w:w="0" w:type="dxa"/>
            <w:left w:w="108" w:type="dxa"/>
            <w:bottom w:w="0" w:type="dxa"/>
            <w:right w:w="108" w:type="dxa"/>
          </w:tblCellMar>
        </w:tblPrEx>
        <w:trPr>
          <w:trHeight w:val="1448"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nil"/>
              <w:left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41</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47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00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rPr>
              <w:t>（实际支出公用经费总额</w:t>
            </w:r>
            <w:r>
              <w:rPr>
                <w:rFonts w:ascii="Times New Roman" w:hAnsi="Times New Roman"/>
                <w:kern w:val="0"/>
                <w:sz w:val="20"/>
                <w:szCs w:val="20"/>
              </w:rPr>
              <w:t>/</w:t>
            </w:r>
            <w:r>
              <w:rPr>
                <w:rFonts w:hint="eastAsia" w:ascii="Times New Roman" w:hAnsi="Times New Roman"/>
                <w:kern w:val="0"/>
                <w:sz w:val="20"/>
                <w:szCs w:val="20"/>
              </w:rPr>
              <w:t>预算安排公用经费总额）</w:t>
            </w:r>
            <w:r>
              <w:rPr>
                <w:rFonts w:ascii="Times New Roman" w:hAnsi="Times New Roman"/>
                <w:kern w:val="0"/>
                <w:sz w:val="20"/>
                <w:szCs w:val="20"/>
              </w:rPr>
              <w:t>×100%</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Times New Roman"/>
                <w:kern w:val="0"/>
                <w:sz w:val="20"/>
                <w:szCs w:val="20"/>
              </w:rPr>
              <w:t>8</w:t>
            </w:r>
          </w:p>
        </w:tc>
        <w:tc>
          <w:tcPr>
            <w:tcW w:w="1305" w:type="dxa"/>
            <w:tcBorders>
              <w:top w:val="nil"/>
              <w:left w:val="nil"/>
              <w:bottom w:val="single" w:color="auto" w:sz="4" w:space="0"/>
              <w:right w:val="single" w:color="auto" w:sz="4" w:space="0"/>
            </w:tcBorders>
            <w:vAlign w:val="center"/>
          </w:tcPr>
          <w:p>
            <w:pPr>
              <w:widowControl/>
              <w:spacing w:line="280" w:lineRule="exact"/>
              <w:jc w:val="center"/>
              <w:rPr>
                <w:rFonts w:hint="eastAsia" w:eastAsia="仿宋_GB2312"/>
                <w:kern w:val="0"/>
                <w:sz w:val="20"/>
                <w:szCs w:val="20"/>
                <w:lang w:eastAsia="zh-CN"/>
              </w:rPr>
            </w:pPr>
            <w:r>
              <w:rPr>
                <w:rFonts w:hint="eastAsia" w:eastAsia="仿宋_GB2312"/>
                <w:kern w:val="0"/>
                <w:sz w:val="20"/>
                <w:szCs w:val="20"/>
                <w:lang w:eastAsia="zh-CN"/>
              </w:rPr>
              <w:t>未超公用经费预算</w:t>
            </w:r>
          </w:p>
          <w:p>
            <w:pPr>
              <w:widowControl/>
              <w:spacing w:line="280" w:lineRule="exact"/>
              <w:jc w:val="center"/>
              <w:rPr>
                <w:rFonts w:hint="eastAsia" w:eastAsia="仿宋_GB2312"/>
                <w:kern w:val="0"/>
                <w:sz w:val="20"/>
                <w:szCs w:val="20"/>
                <w:lang w:eastAsia="zh-CN"/>
              </w:rPr>
            </w:pPr>
          </w:p>
        </w:tc>
      </w:tr>
      <w:tr>
        <w:tblPrEx>
          <w:tblLayout w:type="fixed"/>
          <w:tblCellMar>
            <w:top w:w="0" w:type="dxa"/>
            <w:left w:w="108" w:type="dxa"/>
            <w:bottom w:w="0" w:type="dxa"/>
            <w:right w:w="108" w:type="dxa"/>
          </w:tblCellMar>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47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00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实际支出数</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预算安排数）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Times New Roman"/>
                <w:kern w:val="0"/>
                <w:sz w:val="20"/>
                <w:szCs w:val="20"/>
              </w:rPr>
              <w:t>8</w:t>
            </w:r>
          </w:p>
        </w:tc>
        <w:tc>
          <w:tcPr>
            <w:tcW w:w="1305"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1"/>
                <w:szCs w:val="21"/>
              </w:rPr>
            </w:pPr>
            <w:r>
              <w:rPr>
                <w:rFonts w:ascii="Times New Roman" w:hAnsi="Times New Roman"/>
                <w:kern w:val="0"/>
                <w:sz w:val="21"/>
                <w:szCs w:val="21"/>
              </w:rPr>
              <w:t>6</w:t>
            </w:r>
          </w:p>
        </w:tc>
        <w:tc>
          <w:tcPr>
            <w:tcW w:w="247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计满分，每超过（降低）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00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政府采购执行率</w:t>
            </w:r>
            <w:r>
              <w:rPr>
                <w:rFonts w:ascii="Times New Roman" w:hAnsi="Times New Roman"/>
                <w:kern w:val="0"/>
                <w:sz w:val="20"/>
                <w:szCs w:val="20"/>
              </w:rPr>
              <w:t>=</w:t>
            </w:r>
            <w:r>
              <w:rPr>
                <w:rFonts w:hint="eastAsia" w:ascii="Times New Roman" w:hAnsi="Times New Roman"/>
                <w:kern w:val="0"/>
                <w:sz w:val="20"/>
                <w:szCs w:val="20"/>
              </w:rPr>
              <w:t>（实际政府采购金额</w:t>
            </w:r>
            <w:r>
              <w:rPr>
                <w:rFonts w:ascii="Times New Roman" w:hAnsi="Times New Roman"/>
                <w:kern w:val="0"/>
                <w:sz w:val="20"/>
                <w:szCs w:val="20"/>
              </w:rPr>
              <w:t>/</w:t>
            </w:r>
            <w:r>
              <w:rPr>
                <w:rFonts w:hint="eastAsia" w:ascii="Times New Roman" w:hAnsi="Times New Roman"/>
                <w:kern w:val="0"/>
                <w:sz w:val="20"/>
                <w:szCs w:val="20"/>
              </w:rPr>
              <w:t>政府采购预算数）</w:t>
            </w:r>
            <w:r>
              <w:rPr>
                <w:rFonts w:ascii="Times New Roman" w:hAnsi="Times New Roman"/>
                <w:kern w:val="0"/>
                <w:sz w:val="20"/>
                <w:szCs w:val="20"/>
              </w:rPr>
              <w:t xml:space="preserve">×100%                </w:t>
            </w:r>
          </w:p>
        </w:tc>
        <w:tc>
          <w:tcPr>
            <w:tcW w:w="637"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Times New Roman"/>
                <w:kern w:val="0"/>
                <w:sz w:val="21"/>
                <w:szCs w:val="21"/>
              </w:rPr>
              <w:t>6</w:t>
            </w:r>
          </w:p>
        </w:tc>
        <w:tc>
          <w:tcPr>
            <w:tcW w:w="1305"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ascii="Times New Roman" w:hAnsi="Times New Roman"/>
                <w:kern w:val="0"/>
                <w:sz w:val="20"/>
                <w:szCs w:val="20"/>
              </w:rPr>
              <w:t>41</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管理制度健全性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1"/>
                <w:szCs w:val="21"/>
              </w:rPr>
            </w:pPr>
            <w:r>
              <w:rPr>
                <w:rFonts w:ascii="Times New Roman" w:hAnsi="Times New Roman"/>
                <w:kern w:val="0"/>
                <w:sz w:val="21"/>
                <w:szCs w:val="21"/>
              </w:rPr>
              <w:t>8</w:t>
            </w:r>
          </w:p>
        </w:tc>
        <w:tc>
          <w:tcPr>
            <w:tcW w:w="247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有内部财务管理制度、会计核算制度等管理制度，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②</w:t>
            </w:r>
            <w:r>
              <w:rPr>
                <w:rFonts w:hint="eastAsia" w:ascii="Times New Roman" w:hAnsi="Times New Roman"/>
                <w:kern w:val="0"/>
                <w:sz w:val="20"/>
                <w:szCs w:val="20"/>
              </w:rPr>
              <w:t>有本部门厉行节约制度，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③</w:t>
            </w:r>
            <w:r>
              <w:rPr>
                <w:rFonts w:hint="eastAsia" w:ascii="Times New Roman" w:hAnsi="Times New Roman"/>
                <w:kern w:val="0"/>
                <w:sz w:val="20"/>
                <w:szCs w:val="20"/>
              </w:rPr>
              <w:t>相关管理制度合法、合规、完整，</w:t>
            </w:r>
            <w:r>
              <w:rPr>
                <w:rFonts w:ascii="Times New Roman" w:hAnsi="Times New Roman"/>
                <w:kern w:val="0"/>
                <w:sz w:val="20"/>
                <w:szCs w:val="20"/>
              </w:rPr>
              <w:t>2</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相关管理制度得到有效执行，</w:t>
            </w:r>
            <w:r>
              <w:rPr>
                <w:rFonts w:ascii="Times New Roman" w:hAnsi="Times New Roman"/>
                <w:kern w:val="0"/>
                <w:sz w:val="20"/>
                <w:szCs w:val="20"/>
              </w:rPr>
              <w:t>2</w:t>
            </w:r>
            <w:r>
              <w:rPr>
                <w:rFonts w:hint="eastAsia" w:ascii="Times New Roman" w:hAnsi="Times New Roman"/>
                <w:kern w:val="0"/>
                <w:sz w:val="20"/>
                <w:szCs w:val="20"/>
              </w:rPr>
              <w:t>分。</w:t>
            </w:r>
          </w:p>
        </w:tc>
        <w:tc>
          <w:tcPr>
            <w:tcW w:w="300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1"/>
                <w:szCs w:val="21"/>
              </w:rPr>
              <w:t>8</w:t>
            </w:r>
          </w:p>
        </w:tc>
        <w:tc>
          <w:tcPr>
            <w:tcW w:w="1305"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hint="eastAsia" w:eastAsia="仿宋_GB2312"/>
                <w:kern w:val="0"/>
                <w:sz w:val="20"/>
                <w:szCs w:val="20"/>
                <w:lang w:val="en-US" w:eastAsia="zh-CN"/>
              </w:rPr>
              <w:t>已建立内部控制制度</w:t>
            </w:r>
          </w:p>
        </w:tc>
      </w:tr>
      <w:tr>
        <w:tblPrEx>
          <w:tblLayout w:type="fixed"/>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资金使用合规性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1"/>
                <w:szCs w:val="21"/>
              </w:rPr>
            </w:pPr>
            <w:r>
              <w:rPr>
                <w:rFonts w:ascii="Times New Roman" w:hAnsi="Times New Roman"/>
                <w:kern w:val="0"/>
                <w:sz w:val="21"/>
                <w:szCs w:val="21"/>
              </w:rPr>
              <w:t>6</w:t>
            </w:r>
          </w:p>
        </w:tc>
        <w:tc>
          <w:tcPr>
            <w:tcW w:w="247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支出符合国家财经法规和财务管理制度规定以及有关专项资金管理办法的规定；</w:t>
            </w:r>
            <w:r>
              <w:rPr>
                <w:rFonts w:hint="eastAsia" w:ascii="Times New Roman" w:hAnsi="Times New Roman" w:eastAsia="宋体"/>
                <w:kern w:val="0"/>
                <w:sz w:val="20"/>
                <w:szCs w:val="20"/>
              </w:rPr>
              <w:t>②</w:t>
            </w:r>
            <w:r>
              <w:rPr>
                <w:rFonts w:hint="eastAsia" w:ascii="Times New Roman" w:hAnsi="Times New Roman"/>
                <w:kern w:val="0"/>
                <w:sz w:val="20"/>
                <w:szCs w:val="20"/>
              </w:rPr>
              <w:t>资金拨付有完整的审批程序和手续；</w:t>
            </w:r>
            <w:r>
              <w:rPr>
                <w:rFonts w:hint="eastAsia" w:ascii="Times New Roman" w:hAnsi="Times New Roman" w:eastAsia="宋体"/>
                <w:kern w:val="0"/>
                <w:sz w:val="20"/>
                <w:szCs w:val="20"/>
              </w:rPr>
              <w:t>③</w:t>
            </w:r>
            <w:r>
              <w:rPr>
                <w:rFonts w:hint="eastAsia" w:ascii="Times New Roman" w:hAnsi="Times New Roman"/>
                <w:kern w:val="0"/>
                <w:sz w:val="20"/>
                <w:szCs w:val="20"/>
              </w:rPr>
              <w:t>项目支出按规定经过评估论证；</w:t>
            </w:r>
            <w:r>
              <w:rPr>
                <w:rFonts w:hint="eastAsia" w:ascii="Times New Roman" w:hAnsi="Times New Roman" w:eastAsia="宋体"/>
                <w:kern w:val="0"/>
                <w:sz w:val="20"/>
                <w:szCs w:val="20"/>
              </w:rPr>
              <w:t>④</w:t>
            </w:r>
            <w:r>
              <w:rPr>
                <w:rFonts w:hint="eastAsia" w:ascii="Times New Roman" w:hAnsi="Times New Roman"/>
                <w:kern w:val="0"/>
                <w:sz w:val="20"/>
                <w:szCs w:val="20"/>
              </w:rPr>
              <w:t>支出符合部门预算批复的用途；</w:t>
            </w:r>
            <w:r>
              <w:rPr>
                <w:rFonts w:hint="eastAsia" w:ascii="Times New Roman" w:hAnsi="Times New Roman" w:eastAsia="宋体"/>
                <w:kern w:val="0"/>
                <w:sz w:val="20"/>
                <w:szCs w:val="20"/>
              </w:rPr>
              <w:t>⑤</w:t>
            </w:r>
            <w:r>
              <w:rPr>
                <w:rFonts w:hint="eastAsia" w:ascii="Times New Roman" w:hAnsi="Times New Roman"/>
                <w:kern w:val="0"/>
                <w:sz w:val="20"/>
                <w:szCs w:val="20"/>
              </w:rPr>
              <w:t>资金使用无截留、挤占、挪用、虚列支出等情况。</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以上情况每出现一例不符合要求的扣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00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1"/>
                <w:szCs w:val="21"/>
              </w:rPr>
              <w:t>6</w:t>
            </w:r>
          </w:p>
        </w:tc>
        <w:tc>
          <w:tcPr>
            <w:tcW w:w="1305"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hint="eastAsia" w:eastAsia="仿宋_GB2312"/>
                <w:kern w:val="0"/>
                <w:sz w:val="20"/>
                <w:szCs w:val="20"/>
                <w:lang w:val="en-US" w:eastAsia="zh-CN"/>
              </w:rPr>
              <w:t>严格按照相关资金管理办法合理使用</w:t>
            </w: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spacing w:val="-17"/>
                <w:kern w:val="0"/>
                <w:sz w:val="20"/>
                <w:szCs w:val="20"/>
              </w:rPr>
              <w:t>预决算信息</w:t>
            </w:r>
            <w:r>
              <w:rPr>
                <w:rFonts w:hint="eastAsia" w:ascii="Times New Roman" w:hAnsi="Times New Roman"/>
                <w:kern w:val="0"/>
                <w:sz w:val="20"/>
                <w:szCs w:val="20"/>
              </w:rPr>
              <w:t>公开性</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1"/>
                <w:szCs w:val="21"/>
              </w:rPr>
            </w:pPr>
            <w:r>
              <w:rPr>
                <w:rFonts w:ascii="Times New Roman" w:hAnsi="Times New Roman"/>
                <w:kern w:val="0"/>
                <w:sz w:val="21"/>
                <w:szCs w:val="21"/>
              </w:rPr>
              <w:t>5</w:t>
            </w:r>
          </w:p>
        </w:tc>
        <w:tc>
          <w:tcPr>
            <w:tcW w:w="247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按规定内容公开预决算信息，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②</w:t>
            </w:r>
            <w:r>
              <w:rPr>
                <w:rFonts w:hint="eastAsia" w:ascii="Times New Roman" w:hAnsi="Times New Roman"/>
                <w:kern w:val="0"/>
                <w:sz w:val="20"/>
                <w:szCs w:val="20"/>
              </w:rPr>
              <w:t>按规定时限公开预决算信息，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③</w:t>
            </w:r>
            <w:r>
              <w:rPr>
                <w:rFonts w:hint="eastAsia" w:ascii="Times New Roman" w:hAnsi="Times New Roman"/>
                <w:kern w:val="0"/>
                <w:sz w:val="20"/>
                <w:szCs w:val="20"/>
              </w:rPr>
              <w:t>基础数据信息和会计信息资料真实，</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基础数据信息和会计信息资料完整，</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⑤</w:t>
            </w:r>
            <w:r>
              <w:rPr>
                <w:rFonts w:hint="eastAsia" w:ascii="Times New Roman" w:hAnsi="Times New Roman"/>
                <w:kern w:val="0"/>
                <w:sz w:val="20"/>
                <w:szCs w:val="20"/>
              </w:rPr>
              <w:t>基础数据信息和汇集信息资料准确，</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 xml:space="preserve">  </w:t>
            </w:r>
          </w:p>
        </w:tc>
        <w:tc>
          <w:tcPr>
            <w:tcW w:w="300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1"/>
                <w:szCs w:val="21"/>
              </w:rPr>
              <w:t>5</w:t>
            </w:r>
          </w:p>
        </w:tc>
        <w:tc>
          <w:tcPr>
            <w:tcW w:w="1305"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hint="eastAsia" w:eastAsia="仿宋_GB2312"/>
                <w:kern w:val="0"/>
                <w:sz w:val="20"/>
                <w:szCs w:val="20"/>
                <w:lang w:val="en-US" w:eastAsia="zh-CN"/>
              </w:rPr>
              <w:t>严格按照要求规定按时按量，确保预决算信息的公开性</w:t>
            </w:r>
            <w:r>
              <w:rPr>
                <w:rFonts w:hint="eastAsia"/>
                <w:kern w:val="0"/>
                <w:sz w:val="20"/>
                <w:szCs w:val="20"/>
                <w:lang w:val="en-US" w:eastAsia="zh-CN"/>
              </w:rPr>
              <w:t>、真实性</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26</w:t>
            </w:r>
          </w:p>
        </w:tc>
        <w:tc>
          <w:tcPr>
            <w:tcW w:w="67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1072" w:type="dxa"/>
            <w:tcBorders>
              <w:top w:val="nil"/>
              <w:left w:val="nil"/>
              <w:bottom w:val="nil"/>
              <w:right w:val="single" w:color="auto" w:sz="4" w:space="0"/>
            </w:tcBorders>
            <w:vAlign w:val="center"/>
          </w:tcPr>
          <w:p>
            <w:pPr>
              <w:widowControl/>
              <w:spacing w:line="280" w:lineRule="exact"/>
              <w:jc w:val="center"/>
              <w:rPr>
                <w:rFonts w:ascii="Times New Roman" w:hAnsi="Times New Roman"/>
                <w:spacing w:val="-20"/>
                <w:kern w:val="0"/>
                <w:sz w:val="20"/>
                <w:szCs w:val="20"/>
              </w:rPr>
            </w:pPr>
            <w:r>
              <w:rPr>
                <w:rFonts w:hint="eastAsia" w:ascii="Times New Roman" w:hAnsi="Times New Roman"/>
                <w:spacing w:val="-20"/>
                <w:kern w:val="0"/>
                <w:sz w:val="20"/>
                <w:szCs w:val="20"/>
              </w:rPr>
              <w:t>重点工作</w:t>
            </w:r>
          </w:p>
          <w:p>
            <w:pPr>
              <w:widowControl/>
              <w:spacing w:line="280" w:lineRule="exact"/>
              <w:jc w:val="center"/>
              <w:rPr>
                <w:rFonts w:ascii="Times New Roman" w:hAnsi="Times New Roman"/>
                <w:kern w:val="0"/>
                <w:sz w:val="20"/>
                <w:szCs w:val="20"/>
              </w:rPr>
            </w:pPr>
            <w:r>
              <w:rPr>
                <w:rFonts w:hint="eastAsia" w:ascii="Times New Roman" w:hAnsi="Times New Roman"/>
                <w:spacing w:val="-20"/>
                <w:kern w:val="0"/>
                <w:sz w:val="20"/>
                <w:szCs w:val="20"/>
              </w:rPr>
              <w:t>实际完成率</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1"/>
                <w:szCs w:val="21"/>
              </w:rPr>
            </w:pPr>
            <w:r>
              <w:rPr>
                <w:rFonts w:ascii="Times New Roman" w:hAnsi="Times New Roman"/>
                <w:kern w:val="0"/>
                <w:sz w:val="21"/>
                <w:szCs w:val="21"/>
              </w:rPr>
              <w:t>8</w:t>
            </w:r>
          </w:p>
        </w:tc>
        <w:tc>
          <w:tcPr>
            <w:tcW w:w="247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根据绩效办对各部门为民办实事和部门重点工程与重点工作考核分数折算。</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该项得分</w:t>
            </w:r>
            <w:r>
              <w:rPr>
                <w:rFonts w:ascii="Times New Roman" w:hAnsi="Times New Roman"/>
                <w:kern w:val="0"/>
                <w:sz w:val="20"/>
                <w:szCs w:val="20"/>
              </w:rPr>
              <w:t>=</w:t>
            </w:r>
            <w:r>
              <w:rPr>
                <w:rFonts w:hint="eastAsia" w:ascii="Times New Roman" w:hAnsi="Times New Roman"/>
                <w:kern w:val="0"/>
                <w:sz w:val="20"/>
                <w:szCs w:val="20"/>
              </w:rPr>
              <w:t>（绩效办对应部分考核得分</w:t>
            </w:r>
            <w:r>
              <w:rPr>
                <w:rFonts w:ascii="Times New Roman" w:hAnsi="Times New Roman"/>
                <w:kern w:val="0"/>
                <w:sz w:val="20"/>
                <w:szCs w:val="20"/>
              </w:rPr>
              <w:t>/350</w:t>
            </w:r>
            <w:r>
              <w:rPr>
                <w:rFonts w:hint="eastAsia" w:ascii="Times New Roman" w:hAnsi="Times New Roman"/>
                <w:kern w:val="0"/>
                <w:sz w:val="20"/>
                <w:szCs w:val="20"/>
              </w:rPr>
              <w:t>）</w:t>
            </w:r>
            <w:r>
              <w:rPr>
                <w:rFonts w:ascii="Times New Roman" w:hAnsi="Times New Roman"/>
                <w:kern w:val="0"/>
                <w:sz w:val="20"/>
                <w:szCs w:val="20"/>
              </w:rPr>
              <w:t>*8</w:t>
            </w:r>
          </w:p>
        </w:tc>
        <w:tc>
          <w:tcPr>
            <w:tcW w:w="300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1"/>
                <w:szCs w:val="21"/>
              </w:rPr>
              <w:t>8</w:t>
            </w:r>
          </w:p>
        </w:tc>
        <w:tc>
          <w:tcPr>
            <w:tcW w:w="1305"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履职</w:t>
            </w:r>
            <w:r>
              <w:rPr>
                <w:rFonts w:ascii="Times New Roman" w:hAnsi="Times New Roman"/>
                <w:kern w:val="0"/>
                <w:sz w:val="20"/>
                <w:szCs w:val="20"/>
              </w:rPr>
              <w:t xml:space="preserve"> </w:t>
            </w:r>
            <w:r>
              <w:rPr>
                <w:rFonts w:hint="eastAsia" w:ascii="Times New Roman" w:hAnsi="Times New Roman"/>
                <w:kern w:val="0"/>
                <w:sz w:val="20"/>
                <w:szCs w:val="20"/>
              </w:rPr>
              <w:t>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经济效益</w:t>
            </w:r>
          </w:p>
        </w:tc>
        <w:tc>
          <w:tcPr>
            <w:tcW w:w="416" w:type="dxa"/>
            <w:vMerge w:val="restart"/>
            <w:tcBorders>
              <w:top w:val="nil"/>
              <w:left w:val="single" w:color="auto" w:sz="4" w:space="0"/>
              <w:bottom w:val="nil"/>
              <w:right w:val="single" w:color="auto" w:sz="4" w:space="0"/>
            </w:tcBorders>
            <w:vAlign w:val="center"/>
          </w:tcPr>
          <w:p>
            <w:pPr>
              <w:widowControl/>
              <w:spacing w:line="280" w:lineRule="exact"/>
              <w:jc w:val="center"/>
              <w:rPr>
                <w:rFonts w:ascii="Times New Roman" w:hAnsi="Times New Roman"/>
                <w:kern w:val="0"/>
                <w:sz w:val="21"/>
                <w:szCs w:val="21"/>
              </w:rPr>
            </w:pPr>
            <w:r>
              <w:rPr>
                <w:rFonts w:ascii="Times New Roman" w:hAnsi="Times New Roman"/>
                <w:kern w:val="0"/>
                <w:sz w:val="21"/>
                <w:szCs w:val="21"/>
              </w:rPr>
              <w:t>6</w:t>
            </w:r>
          </w:p>
        </w:tc>
        <w:tc>
          <w:tcPr>
            <w:tcW w:w="5477" w:type="dxa"/>
            <w:gridSpan w:val="2"/>
            <w:vMerge w:val="restart"/>
            <w:tcBorders>
              <w:top w:val="single" w:color="auto" w:sz="4" w:space="0"/>
              <w:left w:val="single" w:color="auto" w:sz="4" w:space="0"/>
              <w:bottom w:val="nil"/>
              <w:right w:val="single" w:color="000000" w:sz="4" w:space="0"/>
            </w:tcBorders>
            <w:vAlign w:val="center"/>
          </w:tcPr>
          <w:p>
            <w:pPr>
              <w:widowControl/>
              <w:spacing w:line="240" w:lineRule="exact"/>
              <w:jc w:val="left"/>
              <w:rPr>
                <w:rFonts w:hint="eastAsia" w:ascii="Times New Roman" w:hAnsi="Times New Roman" w:eastAsia="仿宋_GB2312"/>
                <w:kern w:val="0"/>
                <w:sz w:val="20"/>
                <w:szCs w:val="20"/>
                <w:lang w:eastAsia="zh-CN"/>
              </w:rPr>
            </w:pPr>
            <w:r>
              <w:rPr>
                <w:rFonts w:hint="eastAsia" w:ascii="Times New Roman" w:hAnsi="Times New Roman"/>
                <w:kern w:val="0"/>
                <w:sz w:val="20"/>
                <w:szCs w:val="20"/>
              </w:rPr>
              <w:t>此两项指标为设置部门整体支出绩效评价指标时必须考虑的共性要素，可根据部门实际情况有选择的进行设置，并将其细化为相应的个性化指标。</w:t>
            </w:r>
            <w:r>
              <w:rPr>
                <w:rFonts w:hint="eastAsia" w:ascii="Times New Roman" w:hAnsi="Times New Roman"/>
                <w:color w:val="FF0000"/>
                <w:kern w:val="0"/>
                <w:sz w:val="20"/>
                <w:szCs w:val="20"/>
                <w:lang w:eastAsia="zh-CN"/>
              </w:rPr>
              <w:t>（根据</w:t>
            </w:r>
            <w:r>
              <w:rPr>
                <w:rFonts w:hint="eastAsia" w:ascii="Times New Roman" w:hAnsi="Times New Roman"/>
                <w:color w:val="FF0000"/>
                <w:kern w:val="0"/>
                <w:sz w:val="20"/>
                <w:szCs w:val="20"/>
                <w:lang w:val="en-US" w:eastAsia="zh-CN"/>
              </w:rPr>
              <w:t>18年申报的绩效目标补充个性指标及完成情况</w:t>
            </w:r>
            <w:r>
              <w:rPr>
                <w:rFonts w:hint="eastAsia" w:ascii="Times New Roman" w:hAnsi="Times New Roman"/>
                <w:color w:val="FF0000"/>
                <w:kern w:val="0"/>
                <w:sz w:val="20"/>
                <w:szCs w:val="20"/>
                <w:lang w:eastAsia="zh-CN"/>
              </w:rPr>
              <w:t>）</w:t>
            </w:r>
          </w:p>
        </w:tc>
        <w:tc>
          <w:tcPr>
            <w:tcW w:w="637" w:type="dxa"/>
            <w:vMerge w:val="restart"/>
            <w:tcBorders>
              <w:top w:val="nil"/>
              <w:left w:val="nil"/>
              <w:right w:val="single" w:color="auto"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1"/>
                <w:szCs w:val="21"/>
              </w:rPr>
              <w:t>6</w:t>
            </w:r>
          </w:p>
        </w:tc>
        <w:tc>
          <w:tcPr>
            <w:tcW w:w="1305" w:type="dxa"/>
            <w:tcBorders>
              <w:top w:val="nil"/>
              <w:left w:val="nil"/>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1"/>
                <w:szCs w:val="21"/>
              </w:rPr>
            </w:pPr>
          </w:p>
        </w:tc>
        <w:tc>
          <w:tcPr>
            <w:tcW w:w="5477"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p>
        </w:tc>
        <w:tc>
          <w:tcPr>
            <w:tcW w:w="637" w:type="dxa"/>
            <w:vMerge w:val="continue"/>
            <w:tcBorders>
              <w:left w:val="nil"/>
              <w:bottom w:val="nil"/>
              <w:right w:val="single" w:color="auto" w:sz="4" w:space="0"/>
            </w:tcBorders>
            <w:vAlign w:val="center"/>
          </w:tcPr>
          <w:p>
            <w:pPr>
              <w:widowControl/>
              <w:spacing w:line="280" w:lineRule="exact"/>
              <w:jc w:val="left"/>
              <w:rPr>
                <w:rFonts w:ascii="Times New Roman" w:hAnsi="Times New Roman"/>
                <w:kern w:val="0"/>
                <w:sz w:val="24"/>
                <w:szCs w:val="24"/>
              </w:rPr>
            </w:pPr>
          </w:p>
        </w:tc>
        <w:tc>
          <w:tcPr>
            <w:tcW w:w="1305" w:type="dxa"/>
            <w:tcBorders>
              <w:left w:val="nil"/>
              <w:bottom w:val="nil"/>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12</w:t>
            </w: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1"/>
                <w:szCs w:val="21"/>
              </w:rPr>
            </w:pPr>
            <w:r>
              <w:rPr>
                <w:rFonts w:ascii="Times New Roman" w:hAnsi="Times New Roman"/>
                <w:kern w:val="0"/>
                <w:sz w:val="21"/>
                <w:szCs w:val="21"/>
              </w:rPr>
              <w:t>6</w:t>
            </w:r>
          </w:p>
        </w:tc>
        <w:tc>
          <w:tcPr>
            <w:tcW w:w="247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促进部门改进文风会风，加强经费及资产管理，推动网上办事，提高行政效率，降低行政成本效果较好的计</w:t>
            </w:r>
            <w:r>
              <w:rPr>
                <w:rFonts w:ascii="Times New Roman" w:hAnsi="Times New Roman"/>
                <w:kern w:val="0"/>
                <w:sz w:val="20"/>
                <w:szCs w:val="20"/>
              </w:rPr>
              <w:t>6</w:t>
            </w:r>
            <w:r>
              <w:rPr>
                <w:rFonts w:hint="eastAsia" w:ascii="Times New Roman" w:hAnsi="Times New Roman"/>
                <w:kern w:val="0"/>
                <w:sz w:val="20"/>
                <w:szCs w:val="20"/>
              </w:rPr>
              <w:t>分；一般</w:t>
            </w:r>
            <w:r>
              <w:rPr>
                <w:rFonts w:ascii="Times New Roman" w:hAnsi="Times New Roman"/>
                <w:kern w:val="0"/>
                <w:sz w:val="20"/>
                <w:szCs w:val="20"/>
              </w:rPr>
              <w:t>3</w:t>
            </w:r>
            <w:r>
              <w:rPr>
                <w:rFonts w:hint="eastAsia" w:ascii="Times New Roman" w:hAnsi="Times New Roman"/>
                <w:kern w:val="0"/>
                <w:sz w:val="20"/>
                <w:szCs w:val="20"/>
              </w:rPr>
              <w:t>分；无效果或者效果不明显</w:t>
            </w:r>
            <w:r>
              <w:rPr>
                <w:rFonts w:ascii="Times New Roman" w:hAnsi="Times New Roman"/>
                <w:kern w:val="0"/>
                <w:sz w:val="20"/>
                <w:szCs w:val="20"/>
              </w:rPr>
              <w:t>0</w:t>
            </w:r>
            <w:r>
              <w:rPr>
                <w:rFonts w:hint="eastAsia" w:ascii="Times New Roman" w:hAnsi="Times New Roman"/>
                <w:kern w:val="0"/>
                <w:sz w:val="20"/>
                <w:szCs w:val="20"/>
              </w:rPr>
              <w:t>分。</w:t>
            </w:r>
          </w:p>
        </w:tc>
        <w:tc>
          <w:tcPr>
            <w:tcW w:w="300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1"/>
                <w:szCs w:val="21"/>
              </w:rPr>
              <w:t>6</w:t>
            </w:r>
          </w:p>
        </w:tc>
        <w:tc>
          <w:tcPr>
            <w:tcW w:w="1305" w:type="dxa"/>
            <w:tcBorders>
              <w:top w:val="single" w:color="auto" w:sz="4" w:space="0"/>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25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1"/>
                <w:szCs w:val="21"/>
              </w:rPr>
            </w:pPr>
            <w:r>
              <w:rPr>
                <w:rFonts w:ascii="Times New Roman" w:hAnsi="Times New Roman"/>
                <w:kern w:val="0"/>
                <w:sz w:val="21"/>
                <w:szCs w:val="21"/>
              </w:rPr>
              <w:t>6</w:t>
            </w:r>
          </w:p>
        </w:tc>
        <w:tc>
          <w:tcPr>
            <w:tcW w:w="247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ascii="Times New Roman" w:hAnsi="Times New Roman"/>
                <w:kern w:val="0"/>
                <w:sz w:val="20"/>
                <w:szCs w:val="20"/>
              </w:rPr>
              <w:t>90%</w:t>
            </w:r>
            <w:r>
              <w:rPr>
                <w:rFonts w:hint="eastAsia" w:ascii="Times New Roman" w:hAnsi="Times New Roman"/>
                <w:kern w:val="0"/>
                <w:sz w:val="20"/>
                <w:szCs w:val="20"/>
              </w:rPr>
              <w:t>（含）以上计</w:t>
            </w:r>
            <w:r>
              <w:rPr>
                <w:rFonts w:ascii="Times New Roman" w:hAnsi="Times New Roman"/>
                <w:kern w:val="0"/>
                <w:sz w:val="20"/>
                <w:szCs w:val="20"/>
              </w:rPr>
              <w:t>6</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80%</w:t>
            </w:r>
            <w:r>
              <w:rPr>
                <w:rFonts w:hint="eastAsia" w:ascii="Times New Roman" w:hAnsi="Times New Roman"/>
                <w:kern w:val="0"/>
                <w:sz w:val="20"/>
                <w:szCs w:val="20"/>
              </w:rPr>
              <w:t>（含）</w:t>
            </w:r>
            <w:r>
              <w:rPr>
                <w:rFonts w:ascii="Times New Roman" w:hAnsi="Times New Roman"/>
                <w:kern w:val="0"/>
                <w:sz w:val="20"/>
                <w:szCs w:val="20"/>
              </w:rPr>
              <w:t>-90%</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00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1"/>
                <w:szCs w:val="21"/>
              </w:rPr>
              <w:t>6</w:t>
            </w:r>
          </w:p>
        </w:tc>
        <w:tc>
          <w:tcPr>
            <w:tcW w:w="1305" w:type="dxa"/>
            <w:tcBorders>
              <w:top w:val="nil"/>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90%</w:t>
            </w:r>
          </w:p>
        </w:tc>
      </w:tr>
    </w:tbl>
    <w:p>
      <w:pPr>
        <w:spacing w:line="600" w:lineRule="exact"/>
        <w:rPr>
          <w:rFonts w:hint="eastAsia" w:ascii="Times New Roman" w:hAnsi="Times New Roman" w:eastAsia="楷体_GB2312"/>
        </w:rPr>
        <w:sectPr>
          <w:footerReference r:id="rId3" w:type="default"/>
          <w:pgSz w:w="11906" w:h="16838"/>
          <w:pgMar w:top="1020" w:right="1587" w:bottom="1191" w:left="1701" w:header="851" w:footer="992" w:gutter="0"/>
          <w:pgNumType w:fmt="numberInDash"/>
          <w:cols w:space="720" w:num="1"/>
          <w:docGrid w:type="lines" w:linePitch="312" w:charSpace="0"/>
        </w:sectPr>
      </w:pPr>
    </w:p>
    <w:p>
      <w:pPr>
        <w:spacing w:line="600" w:lineRule="exact"/>
        <w:rPr>
          <w:rFonts w:ascii="Times New Roman" w:hAnsi="Times New Roman"/>
        </w:rPr>
      </w:pPr>
    </w:p>
    <w:sectPr>
      <w:footerReference r:id="rId4" w:type="default"/>
      <w:footerReference r:id="rId5" w:type="even"/>
      <w:pgSz w:w="11906" w:h="16838"/>
      <w:pgMar w:top="1701" w:right="1587"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w:t>
    </w:r>
    <w:r>
      <w:t xml:space="preserve"> 13 -</w:t>
    </w:r>
    <w:r>
      <w:fldChar w:fldCharType="end"/>
    </w:r>
  </w:p>
  <w:p>
    <w:pPr>
      <w:pStyle w:val="4"/>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17 -</w:t>
        </w:r>
        <w:r>
          <w:fldChar w:fldCharType="end"/>
        </w:r>
      </w:p>
    </w:sdtContent>
  </w:sdt>
  <w:p>
    <w:pPr>
      <w:pStyle w:val="4"/>
      <w:ind w:right="9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954067"/>
      <w:docPartObj>
        <w:docPartGallery w:val="autotext"/>
      </w:docPartObj>
    </w:sdtPr>
    <w:sdtContent>
      <w:p>
        <w:pPr>
          <w:pStyle w:val="4"/>
        </w:pPr>
        <w:r>
          <w:fldChar w:fldCharType="begin"/>
        </w:r>
        <w:r>
          <w:instrText xml:space="preserve">PAGE   \* MERGEFORMAT</w:instrText>
        </w:r>
        <w:r>
          <w:fldChar w:fldCharType="separate"/>
        </w:r>
        <w:r>
          <w:rPr>
            <w:lang w:val="zh-CN"/>
          </w:rPr>
          <w:t>-</w:t>
        </w:r>
        <w:r>
          <w:t xml:space="preserve"> 14 -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50733"/>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2CEA"/>
    <w:rsid w:val="00E62C0E"/>
    <w:rsid w:val="00E70E00"/>
    <w:rsid w:val="00E73C44"/>
    <w:rsid w:val="00E84E5F"/>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0F7F70DA"/>
    <w:rsid w:val="152107CC"/>
    <w:rsid w:val="182836BD"/>
    <w:rsid w:val="22323A9B"/>
    <w:rsid w:val="24524A7B"/>
    <w:rsid w:val="26E952CD"/>
    <w:rsid w:val="2BCE776D"/>
    <w:rsid w:val="300C00B1"/>
    <w:rsid w:val="465D4742"/>
    <w:rsid w:val="61DA23D1"/>
    <w:rsid w:val="6C6672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qFormat/>
    <w:uiPriority w:val="0"/>
  </w:style>
  <w:style w:type="paragraph" w:customStyle="1" w:styleId="9">
    <w:name w:val="Char"/>
    <w:basedOn w:val="1"/>
    <w:qFormat/>
    <w:uiPriority w:val="99"/>
    <w:pPr>
      <w:spacing w:line="240" w:lineRule="auto"/>
    </w:pPr>
    <w:rPr>
      <w:rFonts w:ascii="Times New Roman" w:hAnsi="Times New Roman" w:eastAsia="宋体"/>
      <w:sz w:val="21"/>
      <w:szCs w:val="20"/>
    </w:rPr>
  </w:style>
  <w:style w:type="character" w:customStyle="1" w:styleId="10">
    <w:name w:val="页眉 Char"/>
    <w:link w:val="5"/>
    <w:qFormat/>
    <w:locked/>
    <w:uiPriority w:val="99"/>
    <w:rPr>
      <w:rFonts w:ascii="仿宋_GB2312" w:hAnsi="Calibri" w:eastAsia="仿宋_GB2312" w:cs="Times New Roman"/>
      <w:sz w:val="18"/>
      <w:szCs w:val="18"/>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批注框文本 Char"/>
    <w:link w:val="3"/>
    <w:semiHidden/>
    <w:qFormat/>
    <w:uiPriority w:val="99"/>
    <w:rPr>
      <w:rFonts w:ascii="仿宋_GB2312" w:eastAsia="仿宋_GB2312"/>
      <w:kern w:val="2"/>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日期 Char1"/>
    <w:basedOn w:val="7"/>
    <w:semiHidden/>
    <w:qFormat/>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1420</Words>
  <Characters>8095</Characters>
  <Lines>67</Lines>
  <Paragraphs>18</Paragraphs>
  <TotalTime>1</TotalTime>
  <ScaleCrop>false</ScaleCrop>
  <LinksUpToDate>false</LinksUpToDate>
  <CharactersWithSpaces>9497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萝卜</cp:lastModifiedBy>
  <cp:lastPrinted>2019-04-15T03:05:00Z</cp:lastPrinted>
  <dcterms:modified xsi:type="dcterms:W3CDTF">2019-05-20T13:08:48Z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