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jc w:val="both"/>
        <w:rPr>
          <w:rFonts w:hint="eastAsia" w:ascii="黑体" w:hAnsi="黑体" w:eastAsia="黑体" w:cs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  <w:shd w:val="clear" w:color="auto" w:fill="auto"/>
        </w:rPr>
        <w:t>附件</w:t>
      </w: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</w:p>
    <w:p>
      <w:pPr>
        <w:ind w:left="420" w:firstLine="0" w:firstLineChars="0"/>
        <w:jc w:val="center"/>
        <w:rPr>
          <w:rFonts w:hint="eastAsia"/>
          <w:b/>
          <w:bCs/>
          <w:sz w:val="48"/>
          <w:szCs w:val="48"/>
        </w:rPr>
      </w:pPr>
    </w:p>
    <w:p>
      <w:pPr>
        <w:bidi w:val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长沙</w:t>
      </w:r>
      <w:r>
        <w:rPr>
          <w:rFonts w:hint="eastAsia"/>
          <w:b/>
          <w:bCs/>
          <w:sz w:val="48"/>
          <w:szCs w:val="48"/>
          <w:lang w:val="en-US" w:eastAsia="zh-CN"/>
        </w:rPr>
        <w:t>市望城区</w:t>
      </w:r>
      <w:r>
        <w:rPr>
          <w:rFonts w:hint="eastAsia"/>
          <w:b/>
          <w:bCs/>
          <w:sz w:val="48"/>
          <w:szCs w:val="48"/>
        </w:rPr>
        <w:t>人才综合服务平台</w:t>
      </w:r>
    </w:p>
    <w:p>
      <w:pPr>
        <w:adjustRightInd w:val="0"/>
        <w:ind w:firstLine="1687"/>
        <w:jc w:val="center"/>
        <w:rPr>
          <w:rFonts w:ascii="宋体" w:hAnsi="宋体" w:cs="宋体"/>
          <w:b/>
          <w:bCs/>
          <w:sz w:val="84"/>
          <w:szCs w:val="84"/>
        </w:rPr>
      </w:pPr>
    </w:p>
    <w:p>
      <w:pPr>
        <w:pStyle w:val="9"/>
        <w:rPr>
          <w:rFonts w:ascii="宋体" w:hAnsi="宋体" w:cs="宋体"/>
          <w:b/>
          <w:bCs/>
          <w:sz w:val="84"/>
          <w:szCs w:val="84"/>
        </w:rPr>
      </w:pPr>
    </w:p>
    <w:p/>
    <w:p>
      <w:pPr>
        <w:pStyle w:val="5"/>
        <w:ind w:left="0" w:leftChars="0" w:firstLine="0" w:firstLineChars="0"/>
      </w:pPr>
    </w:p>
    <w:p>
      <w:pPr>
        <w:ind w:firstLine="420" w:firstLineChars="0"/>
        <w:jc w:val="center"/>
        <w:rPr>
          <w:sz w:val="72"/>
          <w:szCs w:val="72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PC</w:t>
      </w:r>
      <w:r>
        <w:rPr>
          <w:rFonts w:hint="eastAsia"/>
          <w:b/>
          <w:bCs/>
          <w:sz w:val="72"/>
          <w:szCs w:val="72"/>
        </w:rPr>
        <w:t>端操作手册</w:t>
      </w:r>
    </w:p>
    <w:p>
      <w:pPr>
        <w:pStyle w:val="9"/>
        <w:ind w:left="0" w:leftChars="0" w:firstLine="0" w:firstLineChars="0"/>
        <w:jc w:val="both"/>
        <w:rPr>
          <w:rFonts w:ascii="宋体" w:hAnsi="宋体" w:cs="宋体"/>
          <w:sz w:val="84"/>
          <w:szCs w:val="84"/>
        </w:rPr>
      </w:pPr>
    </w:p>
    <w:p/>
    <w:p>
      <w:pPr>
        <w:pStyle w:val="12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制作单位：</w:t>
      </w:r>
      <w:r>
        <w:rPr>
          <w:rFonts w:hint="eastAsia" w:ascii="仿宋_GB2312" w:hAnsi="仿宋_GB2312" w:eastAsia="仿宋_GB2312" w:cs="仿宋_GB2312"/>
          <w:sz w:val="28"/>
          <w:szCs w:val="24"/>
        </w:rPr>
        <w:t>长沙数字人才科技有限公司</w:t>
      </w:r>
    </w:p>
    <w:p>
      <w:pPr>
        <w:ind w:left="0" w:leftChars="0" w:firstLine="0" w:firstLineChars="0"/>
        <w:rPr>
          <w:rFonts w:ascii="宋体" w:hAnsi="宋体" w:cs="宋体"/>
        </w:rPr>
      </w:pPr>
    </w:p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sectPr>
          <w:footerReference r:id="rId3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</w:p>
    <w:sdt>
      <w:sdtPr>
        <w:rPr>
          <w:rFonts w:hint="eastAsia"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id w:val="147452450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kern w:val="2"/>
          <w:sz w:val="32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仿宋_GB2312" w:hAnsi="仿宋_GB2312" w:eastAsia="仿宋_GB2312" w:cs="仿宋_GB2312"/>
              <w:b/>
              <w:bCs/>
              <w:sz w:val="40"/>
              <w:szCs w:val="40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目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  <w:lang w:val="en-US" w:eastAsia="zh-CN"/>
            </w:rPr>
            <w:t xml:space="preserve">  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录</w:t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_Toc17531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1. 引言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_Toc3793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1.1. 编写目的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_Toc26650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1.2. 项目背景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_Toc13390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1.3. 角色功能设置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_Toc1210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2. 使用说明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_Toc31950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eastAsia="zh-TW"/>
            </w:rPr>
            <w:t xml:space="preserve">2.1.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注册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_Toc32566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 xml:space="preserve">2.2.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登录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5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_Toc1031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3. 首页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_Toc11687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3.1. 人才政策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_Toc13307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3.2. 人才申报认定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_Toc21781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3.3. 政策申报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9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HYPERLINK \l _Toc23672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3.4. 公示公告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PAGEREF _Toc23672 \h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10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_Toc12652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4. 人才政策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_Toc12652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10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_Toc12202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5. 政策申报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_Toc12202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_Toc16979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6. 公示公告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_Toc16979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_Toc5148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7. 人才绿卡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_Toc5148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_Toc11170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8. 用户中心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_Toc11170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5"/>
            <w:ind w:left="0" w:leftChars="0" w:firstLine="0" w:firstLineChars="0"/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32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仿宋_GB2312" w:hAnsi="仿宋_GB2312" w:eastAsia="仿宋_GB2312" w:cs="仿宋_GB2312"/>
          <w:sz w:val="32"/>
          <w:szCs w:val="48"/>
        </w:rPr>
        <w:sectPr>
          <w:footerReference r:id="rId4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  <w:bookmarkStart w:id="0" w:name="_Toc17075"/>
      <w:bookmarkStart w:id="1" w:name="_Toc17531"/>
      <w:bookmarkStart w:id="2" w:name="_Toc115809145"/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</w:rPr>
      </w:pPr>
      <w:r>
        <w:rPr>
          <w:rStyle w:val="13"/>
          <w:rFonts w:hint="eastAsia" w:ascii="仿宋_GB2312" w:hAnsi="仿宋_GB2312" w:eastAsia="仿宋_GB2312" w:cs="仿宋_GB2312"/>
          <w:b/>
          <w:bCs w:val="0"/>
          <w:sz w:val="28"/>
          <w:szCs w:val="44"/>
          <w:lang w:val="en-US" w:eastAsia="zh-CN"/>
        </w:rPr>
        <w:t>1.</w:t>
      </w:r>
      <w:r>
        <w:rPr>
          <w:rStyle w:val="13"/>
          <w:rFonts w:hint="eastAsia" w:ascii="仿宋_GB2312" w:hAnsi="仿宋_GB2312" w:eastAsia="仿宋_GB2312" w:cs="仿宋_GB2312"/>
          <w:b/>
          <w:bCs w:val="0"/>
          <w:sz w:val="28"/>
          <w:szCs w:val="44"/>
        </w:rPr>
        <w:t>引言</w:t>
      </w:r>
      <w:bookmarkEnd w:id="0"/>
      <w:bookmarkEnd w:id="1"/>
      <w:bookmarkEnd w:id="2"/>
    </w:p>
    <w:p>
      <w:pPr>
        <w:pStyle w:val="3"/>
        <w:bidi w:val="0"/>
        <w:ind w:left="575" w:leftChars="0" w:firstLineChars="0"/>
        <w:rPr>
          <w:rFonts w:hint="eastAsia" w:ascii="仿宋_GB2312" w:hAnsi="仿宋_GB2312" w:eastAsia="仿宋_GB2312" w:cs="仿宋_GB2312"/>
          <w:sz w:val="28"/>
          <w:szCs w:val="32"/>
        </w:rPr>
      </w:pPr>
      <w:bookmarkStart w:id="3" w:name="_Toc3793"/>
      <w:r>
        <w:rPr>
          <w:rFonts w:hint="eastAsia" w:ascii="仿宋_GB2312" w:hAnsi="仿宋_GB2312" w:eastAsia="仿宋_GB2312" w:cs="仿宋_GB2312"/>
          <w:sz w:val="28"/>
          <w:szCs w:val="32"/>
        </w:rPr>
        <w:t>编写目的</w:t>
      </w:r>
      <w:bookmarkEnd w:id="3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本文档站在最终用户的角度描述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长沙市望城区人才综合服务平台项目</w:t>
      </w:r>
      <w:r>
        <w:rPr>
          <w:rFonts w:hint="eastAsia" w:ascii="仿宋_GB2312" w:hAnsi="仿宋_GB2312" w:eastAsia="仿宋_GB2312" w:cs="仿宋_GB2312"/>
          <w:sz w:val="28"/>
          <w:szCs w:val="36"/>
        </w:rPr>
        <w:t>系统业务，为用户提供基本的业务描述，在本文档中我们通过对本功能模块进行详细而具体的分析，通过该文档读者可以了解该功能的具体操作。</w:t>
      </w:r>
    </w:p>
    <w:p>
      <w:pPr>
        <w:pStyle w:val="3"/>
        <w:bidi w:val="0"/>
        <w:ind w:left="575" w:leftChars="0" w:firstLineChars="0"/>
        <w:rPr>
          <w:rFonts w:hint="eastAsia" w:ascii="仿宋_GB2312" w:hAnsi="仿宋_GB2312" w:eastAsia="仿宋_GB2312" w:cs="仿宋_GB2312"/>
          <w:sz w:val="28"/>
          <w:szCs w:val="32"/>
        </w:rPr>
      </w:pPr>
      <w:bookmarkStart w:id="4" w:name="_Toc26650"/>
      <w:r>
        <w:rPr>
          <w:rFonts w:hint="eastAsia" w:ascii="仿宋_GB2312" w:hAnsi="仿宋_GB2312" w:eastAsia="仿宋_GB2312" w:cs="仿宋_GB2312"/>
          <w:sz w:val="28"/>
          <w:szCs w:val="32"/>
        </w:rPr>
        <w:t>项目背景</w:t>
      </w:r>
      <w:bookmarkEnd w:id="4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本项目是根据用户的需求，委托</w:t>
      </w:r>
      <w:r>
        <w:rPr>
          <w:rFonts w:hint="eastAsia" w:ascii="仿宋_GB2312" w:hAnsi="仿宋_GB2312" w:eastAsia="仿宋_GB2312" w:cs="仿宋_GB2312"/>
          <w:sz w:val="28"/>
          <w:szCs w:val="32"/>
        </w:rPr>
        <w:t>长沙数字人才科技有限公司进行开发</w:t>
      </w:r>
      <w:r>
        <w:rPr>
          <w:rFonts w:hint="eastAsia" w:ascii="仿宋_GB2312" w:hAnsi="仿宋_GB2312" w:eastAsia="仿宋_GB2312" w:cs="仿宋_GB2312"/>
          <w:sz w:val="28"/>
          <w:szCs w:val="36"/>
        </w:rPr>
        <w:t>。</w:t>
      </w:r>
    </w:p>
    <w:p>
      <w:pPr>
        <w:pStyle w:val="3"/>
        <w:spacing w:before="0" w:after="0"/>
        <w:ind w:left="575" w:leftChars="0" w:firstLineChars="0"/>
        <w:rPr>
          <w:rFonts w:hint="eastAsia" w:ascii="仿宋_GB2312" w:hAnsi="仿宋_GB2312" w:eastAsia="仿宋_GB2312" w:cs="仿宋_GB2312"/>
          <w:sz w:val="28"/>
          <w:szCs w:val="32"/>
        </w:rPr>
      </w:pPr>
      <w:bookmarkStart w:id="5" w:name="_Toc13390"/>
      <w:bookmarkStart w:id="6" w:name="_Toc115809148"/>
      <w:bookmarkStart w:id="7" w:name="_Toc29542"/>
      <w:r>
        <w:rPr>
          <w:rFonts w:hint="eastAsia" w:ascii="仿宋_GB2312" w:hAnsi="仿宋_GB2312" w:eastAsia="仿宋_GB2312" w:cs="仿宋_GB2312"/>
          <w:sz w:val="28"/>
          <w:szCs w:val="32"/>
        </w:rPr>
        <w:t>角色功能设置</w:t>
      </w:r>
      <w:bookmarkEnd w:id="5"/>
      <w:bookmarkEnd w:id="6"/>
      <w:bookmarkEnd w:id="7"/>
    </w:p>
    <w:tbl>
      <w:tblPr>
        <w:tblStyle w:val="11"/>
        <w:tblW w:w="81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6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1" w:type="dxa"/>
            <w:shd w:val="clear" w:color="auto" w:fill="548DD4"/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角色分类</w:t>
            </w:r>
          </w:p>
        </w:tc>
        <w:tc>
          <w:tcPr>
            <w:tcW w:w="6860" w:type="dxa"/>
            <w:shd w:val="clear" w:color="auto" w:fill="548DD4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11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36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6"/>
              </w:rPr>
              <w:t>个人</w:t>
            </w:r>
          </w:p>
        </w:tc>
        <w:tc>
          <w:tcPr>
            <w:tcW w:w="6860" w:type="dxa"/>
            <w:vAlign w:val="top"/>
          </w:tcPr>
          <w:p>
            <w:pPr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8"/>
                <w:szCs w:val="36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6"/>
              </w:rPr>
              <w:t>个人用户注册及登录、个人人才政策项目申报、申报记录查看、</w:t>
            </w:r>
            <w:r>
              <w:rPr>
                <w:rFonts w:hint="eastAsia" w:ascii="仿宋_GB2312" w:hAnsi="仿宋_GB2312" w:eastAsia="仿宋_GB2312" w:cs="仿宋_GB2312"/>
                <w:sz w:val="28"/>
                <w:szCs w:val="36"/>
                <w:lang w:val="en-US" w:eastAsia="zh-CN"/>
              </w:rPr>
              <w:t>人才绿</w:t>
            </w:r>
            <w:r>
              <w:rPr>
                <w:rFonts w:hint="eastAsia" w:ascii="仿宋_GB2312" w:hAnsi="仿宋_GB2312" w:eastAsia="仿宋_GB2312" w:cs="仿宋_GB2312"/>
                <w:sz w:val="28"/>
                <w:szCs w:val="36"/>
              </w:rPr>
              <w:t>卡管理、用户管理、个人政策项目相关权限等操作。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11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36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6"/>
              </w:rPr>
              <w:t>企业</w:t>
            </w:r>
          </w:p>
        </w:tc>
        <w:tc>
          <w:tcPr>
            <w:tcW w:w="6860" w:type="dxa"/>
            <w:vAlign w:val="top"/>
          </w:tcPr>
          <w:p>
            <w:pPr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8"/>
                <w:szCs w:val="36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6"/>
              </w:rPr>
              <w:t>企业用户注册及登录，企业及个人政策项目申报、申报记录查看、用户管理等操作。</w:t>
            </w:r>
          </w:p>
        </w:tc>
      </w:tr>
    </w:tbl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pStyle w:val="2"/>
        <w:numPr>
          <w:ilvl w:val="0"/>
          <w:numId w:val="0"/>
        </w:numPr>
        <w:spacing w:before="0" w:after="0"/>
        <w:ind w:leftChars="0"/>
        <w:rPr>
          <w:rFonts w:hint="eastAsia" w:ascii="仿宋_GB2312" w:hAnsi="仿宋_GB2312" w:eastAsia="仿宋_GB2312" w:cs="仿宋_GB2312"/>
          <w:sz w:val="28"/>
          <w:szCs w:val="44"/>
        </w:rPr>
      </w:pPr>
      <w:bookmarkStart w:id="8" w:name="_Toc1210"/>
      <w:bookmarkStart w:id="9" w:name="_Toc115809149"/>
      <w:bookmarkStart w:id="10" w:name="_Toc15687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44"/>
        </w:rPr>
        <w:t>使用说明</w:t>
      </w:r>
      <w:bookmarkEnd w:id="8"/>
      <w:bookmarkEnd w:id="9"/>
      <w:bookmarkEnd w:id="10"/>
    </w:p>
    <w:p>
      <w:pPr>
        <w:adjustRightInd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eastAsia="zh-TW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eastAsia="zh-TW"/>
        </w:rPr>
        <w:t>打开浏览器，输入链接地址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6"/>
          <w:szCs w:val="36"/>
        </w:rPr>
        <w:t>https://www.cswcrc.com/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进入首页，</w:t>
      </w:r>
      <w:r>
        <w:rPr>
          <w:rFonts w:hint="eastAsia" w:ascii="仿宋_GB2312" w:hAnsi="仿宋_GB2312" w:eastAsia="仿宋_GB2312" w:cs="仿宋_GB2312"/>
          <w:sz w:val="28"/>
          <w:szCs w:val="36"/>
          <w:lang w:eastAsia="zh-TW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所示</w:t>
      </w:r>
      <w:r>
        <w:rPr>
          <w:rFonts w:hint="eastAsia" w:ascii="仿宋_GB2312" w:hAnsi="仿宋_GB2312" w:eastAsia="仿宋_GB2312" w:cs="仿宋_GB2312"/>
          <w:sz w:val="28"/>
          <w:szCs w:val="36"/>
          <w:lang w:eastAsia="zh-TW"/>
        </w:rPr>
        <w:t>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7325" cy="5764530"/>
            <wp:effectExtent l="0" t="0" r="9525" b="76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  <w:lang w:eastAsia="zh-TW"/>
        </w:rPr>
      </w:pPr>
      <w:bookmarkStart w:id="11" w:name="_Toc31950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2.1.注册</w:t>
      </w:r>
      <w:bookmarkEnd w:id="11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没有账号则需要先进行注册；有账号用户可直接进行登录操作。注册分为：个人注册、企业注册。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2"/>
          <w:lang w:val="en-US" w:eastAsia="zh-TW"/>
        </w:rPr>
      </w:pPr>
      <w:r>
        <w:rPr>
          <w:rFonts w:hint="eastAsia" w:ascii="仿宋_GB2312" w:hAnsi="仿宋_GB2312" w:eastAsia="仿宋_GB2312" w:cs="仿宋_GB2312"/>
          <w:sz w:val="28"/>
          <w:szCs w:val="22"/>
          <w:lang w:val="en-US" w:eastAsia="zh-CN"/>
        </w:rPr>
        <w:t>2.1.1.个人注册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7800" cy="2466340"/>
            <wp:effectExtent l="0" t="0" r="0" b="1016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点击弹出框下方的【注册】按钮，进入注册页面，如下图：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6690" cy="2530475"/>
            <wp:effectExtent l="0" t="0" r="1016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选择个人注册；输入个人基本信息及登录密码；手机号为登录账号，登录密码为登录信息中设置的登录密码；输入完成后，点击【立即注册】按钮，即可完成注册。（请确保填写的手机号码正确，以免获取不到验证码）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2"/>
          <w:lang w:val="en-US" w:eastAsia="zh-TW"/>
        </w:rPr>
      </w:pPr>
      <w:r>
        <w:rPr>
          <w:rFonts w:hint="eastAsia" w:ascii="仿宋_GB2312" w:hAnsi="仿宋_GB2312" w:eastAsia="仿宋_GB2312" w:cs="仿宋_GB2312"/>
          <w:sz w:val="28"/>
          <w:szCs w:val="22"/>
          <w:lang w:val="en-US" w:eastAsia="zh-CN"/>
        </w:rPr>
        <w:t>2.1.2.企业注册</w:t>
      </w:r>
    </w:p>
    <w:p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4310" cy="5010150"/>
            <wp:effectExtent l="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输入企业基本信息及登录密码；手机号为登录账号，登录密码为登录信息中设置的登录密码；输入完成后，点击【立即注册】按钮，即可完成注册。（请确保填写的手机号码正确，以免获取不到验证码）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（注：企业注册完成后，非望城区企业需由管理端进行审核，审核通过后才可进行登录操作；若审核不通过，则可重新进行提交审核，登录账号后，即可进入注册页面进行修改信息。）</w:t>
      </w:r>
    </w:p>
    <w:p>
      <w:pPr>
        <w:pStyle w:val="9"/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非望城区企业解释：企业营业执照中信用社代码第三至八位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不是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：【430122、430112】的数据为不是望城区企业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</w:rPr>
      </w:pPr>
      <w:bookmarkStart w:id="12" w:name="_Toc32566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2.2.登录</w:t>
      </w:r>
      <w:bookmarkEnd w:id="12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登录方式分为两种：用户名及密码登录、手机号及验证码登录。</w:t>
      </w:r>
    </w:p>
    <w:p>
      <w:pPr>
        <w:pStyle w:val="9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36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（1）用户名登录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7800" cy="2466340"/>
            <wp:effectExtent l="0" t="0" r="0" b="1016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输入账号、密码，点击【登录】按钮，即可登录成功；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（2）验证码登录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0340" cy="2458085"/>
            <wp:effectExtent l="0" t="0" r="16510" b="184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输入手机号码，点击【发送验证码】输入手机号码接收到的短信验证码，点击【登录】按钮，即可登录成功。</w:t>
      </w:r>
    </w:p>
    <w:p>
      <w:pPr>
        <w:pStyle w:val="9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（3）忘记密码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点击【忘记密码】打开忘记密码页面，输入手机号，密码及确认密码；并输入已获取到的验证码，点击【重置密码】，即可修改成功。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</w:pPr>
      <w:bookmarkStart w:id="13" w:name="_Toc1031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3.首页</w:t>
      </w:r>
      <w:bookmarkEnd w:id="13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首页主要分为：人才政策、人才申报认定（E类和F类人才申报及智能匹配）、政策申报及公示公告四大类。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</w:pPr>
      <w:bookmarkStart w:id="14" w:name="_Toc11687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3.1.人才政策</w:t>
      </w:r>
      <w:bookmarkEnd w:id="14"/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7800" cy="2536190"/>
            <wp:effectExtent l="0" t="0" r="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点击上图中标题，可打开该条政策的详情页。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点击【查看更多】按钮，即可进入人才政策列表页面。当前模块在首页最多展示6条记录，其余的记录需点击【查看更多】按钮进行查看。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</w:pPr>
      <w:bookmarkStart w:id="15" w:name="_Toc13307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3.2.人才申报认定</w:t>
      </w:r>
      <w:bookmarkEnd w:id="15"/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2245" cy="2569210"/>
            <wp:effectExtent l="0" t="0" r="14605" b="254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点击E类人才或F类人才申报下的【立即申报】按钮，分别进入“E类人才、F类人才”申报表单填报页面。（登录后才可进入申报页，若没有登录账号，点击立即申报按钮则弹出登录框。）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点击E类人才或F类人才其他区域，则打开申报指南页面。</w:t>
      </w:r>
    </w:p>
    <w:p>
      <w:p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点击“智能匹配”区域，打开智能匹配页，如下图：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4310" cy="44691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用户选择与自己匹配的选项，选择完成后，点击“我已选好，立即匹配”按钮，展示当前匹配结果，如下图：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3040" cy="2516505"/>
            <wp:effectExtent l="0" t="0" r="3810" b="1714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如果当时同时符合A类或B类、C类选项时，则只展示A类结果。ABCD类为长沙市人才，匹配完成后，只有【重新匹配】按钮；EF类为望城人才，页面中会出现【申报指南、重新匹配】两个按钮。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</w:pPr>
      <w:bookmarkStart w:id="16" w:name="_Toc21781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3.3.政策申报</w:t>
      </w:r>
      <w:bookmarkEnd w:id="16"/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4150" cy="2404745"/>
            <wp:effectExtent l="0" t="0" r="12700" b="146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选择状态为“申报中”的政策项目，点击【在线申报】按钮，打开申报表单页面。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状态为【待开始、已截止】的数据，在线申报不能点击。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如果后台管理系统中将项目的申报方式设置为【外部申报】，点击在线申报时，给出以下弹窗，如下图：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070475" cy="2990850"/>
            <wp:effectExtent l="0" t="0" r="158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后台管理系统将政策主题关闭后，当前政策不展示在PC门户及小程序，则对应的项目也不展示。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</w:pPr>
      <w:bookmarkStart w:id="17" w:name="_Toc23672"/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3.4.公示公告</w:t>
      </w:r>
      <w:bookmarkEnd w:id="17"/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0975" cy="1943100"/>
            <wp:effectExtent l="0" t="0" r="15875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点击上图中标题，可打开该条数据的详情页。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点击【查看更多】按钮，即可进入公示公告列表页面。当前模块在首页最多展示8条记录，其余的记录需点击【查看更多】按钮进行查看。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</w:pPr>
      <w:bookmarkStart w:id="18" w:name="_Toc12652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4.人才政策</w:t>
      </w:r>
      <w:bookmarkEnd w:id="18"/>
    </w:p>
    <w:p>
      <w:pPr>
        <w:bidi w:val="0"/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  <w:t>点击头部导航栏中【人才政策】按钮，打开人才政策列表页面，如下图：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6055" cy="2534285"/>
            <wp:effectExtent l="0" t="0" r="10795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根据上图中“省级政策、市级政策、区级政策”页签，可切换到对应政策页面，并展示与当前页签相符的政策数据。输入政策标题，可进行搜索相关数据。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color w:val="auto"/>
          <w:sz w:val="28"/>
          <w:szCs w:val="44"/>
          <w:lang w:val="en-US" w:eastAsia="zh-CN"/>
        </w:rPr>
      </w:pPr>
      <w:bookmarkStart w:id="19" w:name="_Toc12202"/>
      <w:r>
        <w:rPr>
          <w:rFonts w:hint="eastAsia" w:ascii="仿宋_GB2312" w:hAnsi="仿宋_GB2312" w:eastAsia="仿宋_GB2312" w:cs="仿宋_GB2312"/>
          <w:color w:val="auto"/>
          <w:sz w:val="28"/>
          <w:szCs w:val="44"/>
          <w:lang w:val="en-US" w:eastAsia="zh-CN"/>
        </w:rPr>
        <w:t>5.政策申报</w:t>
      </w:r>
      <w:bookmarkEnd w:id="19"/>
    </w:p>
    <w:p>
      <w:pPr>
        <w:bidi w:val="0"/>
        <w:ind w:firstLine="536" w:firstLineChars="200"/>
        <w:rPr>
          <w:rFonts w:hint="eastAsia" w:ascii="仿宋_GB2312" w:hAnsi="仿宋_GB2312" w:eastAsia="仿宋_GB2312" w:cs="仿宋_GB2312"/>
          <w:color w:val="auto"/>
          <w:spacing w:val="-6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28"/>
          <w:szCs w:val="36"/>
          <w:lang w:val="en-US" w:eastAsia="zh-CN"/>
        </w:rPr>
        <w:t>点击头部导航栏中【政策申报】按钮，打开政策申报列表页面，如下图：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9230" cy="2654935"/>
            <wp:effectExtent l="0" t="0" r="7620" b="1206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点击【政策原文】按钮，打开政策详情页面。</w:t>
      </w:r>
    </w:p>
    <w:p>
      <w:pPr>
        <w:pStyle w:val="9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通过点击【项目申报】按钮，打开该政策主题下所有的项目信息，如下图：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9865" cy="2435860"/>
            <wp:effectExtent l="0" t="0" r="6985" b="25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点击【申报指南】查看当前项目详情；也可点击【在线申报】按钮，进行申报操作并打开申报填报页，（未登录点击在线申报按钮，给出登录弹窗）如下图：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4310" cy="635889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填写表单完成后，点击【提交】按钮，即可提交成功；也可通过点【暂存】按钮，将填写好的数据进行保存，稍后进行提交。提交或暂存的数据，可在用户中心，我的申报中进行查看。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填写完成的表单也可点击上方的【导出】按钮，即可导出当前表单数据，格式为：word。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</w:pPr>
      <w:bookmarkStart w:id="20" w:name="_Toc16979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6.公示公告</w:t>
      </w:r>
      <w:bookmarkEnd w:id="20"/>
    </w:p>
    <w:p>
      <w:pPr>
        <w:bidi w:val="0"/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  <w:t>点击头部导航栏中【公示公告】按钮，打开公示公告列表页面，如下图：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0500" cy="2575560"/>
            <wp:effectExtent l="0" t="0" r="635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输入关键词，可进行搜索相关数据。点击公告标题，可打开该条公告的详情页，如下图：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0500" cy="2543810"/>
            <wp:effectExtent l="0" t="0" r="635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上图中附件支持下载查看操作。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</w:pPr>
      <w:bookmarkStart w:id="21" w:name="_Toc5148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7.人才绿卡</w:t>
      </w:r>
      <w:bookmarkEnd w:id="21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  <w:t>点击头部导航栏中【人才绿卡】按钮，打开人才绿卡页面，如下图：</w:t>
      </w:r>
    </w:p>
    <w:p>
      <w:pPr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</w:pP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3515" cy="2486025"/>
            <wp:effectExtent l="0" t="0" r="13335" b="952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  <w:t>（1）查看绿卡</w:t>
      </w:r>
    </w:p>
    <w:p>
      <w:pPr>
        <w:ind w:firstLine="560" w:firstLineChars="200"/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  <w:t>当前用户为个人，且已登录账号；点击【查看绿卡】按钮，展示当前绿卡信息，如下图：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3040" cy="2583815"/>
            <wp:effectExtent l="0" t="0" r="381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（若用户申请了E卡且审核通过后，则替换掉该用户所拥有的F卡，展示E卡信息。）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当前账号未登录时，跳转到登录页面，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未持有绿卡或为企业账号，点击【查看绿卡】按钮，给出提示框，如下图：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7800" cy="2270125"/>
            <wp:effectExtent l="0" t="0" r="0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点击“如何认定骨干人才或如何认定后备骨干人才”按钮，跳转至：E类人才或F类人才的申报指南页面。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（2）申请E卡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点击申请E卡按钮，跳转到E类人才的申报指南页面。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（3）申请F卡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点击申请F卡按钮，跳转到F类人才的申报指南页面。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（4）人才绿卡服务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主要展示绿卡用户可享受到的特色服务信息，点击服务标签，可查看当前服务下详情信息，如下图: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9070" cy="2472055"/>
            <wp:effectExtent l="0" t="0" r="17780" b="444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</w:pPr>
      <w:bookmarkStart w:id="22" w:name="_Toc11170"/>
      <w:r>
        <w:rPr>
          <w:rFonts w:hint="eastAsia" w:ascii="仿宋_GB2312" w:hAnsi="仿宋_GB2312" w:eastAsia="仿宋_GB2312" w:cs="仿宋_GB2312"/>
          <w:sz w:val="28"/>
          <w:szCs w:val="44"/>
          <w:lang w:val="en-US" w:eastAsia="zh-CN"/>
        </w:rPr>
        <w:t>8.用户中心</w:t>
      </w:r>
      <w:bookmarkEnd w:id="22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在登录账号的情况下才展示“用户中心”。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0975" cy="2564130"/>
            <wp:effectExtent l="0" t="0" r="15875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（1）修改手机号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点击修改手机号按钮，弹出修改手机号弹窗页面，如下图：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6690" cy="2588895"/>
            <wp:effectExtent l="0" t="0" r="1016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获取原手机的验证码，输入新手机号码及新手机号验证码，点击【提交】按钮</w:t>
      </w:r>
      <w:r>
        <w:rPr>
          <w:rFonts w:hint="eastAsia" w:ascii="仿宋_GB2312" w:hAnsi="仿宋_GB2312" w:eastAsia="仿宋_GB2312" w:cs="仿宋_GB2312"/>
          <w:color w:val="000000" w:themeColor="text1"/>
          <w:spacing w:val="-6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，即可修改成功。（后续短信接收则发送至新手机号码，账号不变）</w:t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（2）修改密码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点击修改密码按钮，弹出修改密码弹窗页面，如下图：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57800" cy="2560320"/>
            <wp:effectExtent l="0" t="0" r="0" b="11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输入旧密码、新密码及确认密码，点击【提交】按钮，即可修改成功；修改成功后退出当前登录页，需重新登录。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（3）修改基本信息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登录企业账号，点击用户中心下的“基本信息”，打开基本信息页，如下图：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63515" cy="2558415"/>
            <wp:effectExtent l="0" t="0" r="13335" b="1333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修改基本信息及经济效益信息无需审核；只有修改营业执照信息后，且当前营业执照中信用社代码第三至八位不是：【430122、430112】的数据，则需要后台进行审核操作。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经济效益信息中数据未填写时，系统会给出提示信息。（经济效益已填写时，则不给出提示弹窗）当前年度需填写上一年度的经济效益情况。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（4）修改头像</w:t>
      </w:r>
    </w:p>
    <w:p>
      <w:pPr>
        <w:pStyle w:val="9"/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36"/>
          <w:lang w:val="en-US" w:eastAsia="zh-CN"/>
        </w:rPr>
        <w:t>点击修改头像按钮，可选择头像重新上传，上传成功后则修改头像成功。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（5）退出登录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点击【退出登录】按钮，即可退出系统，返回至首页。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（6）申报记录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用户可点击操作栏中【导出】按钮，可导出当前申报项目数据。</w:t>
      </w:r>
    </w:p>
    <w:p>
      <w:p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点击操作栏中【查看】按钮，可查看申报信息详情页面。</w:t>
      </w:r>
    </w:p>
    <w:p>
      <w:pPr>
        <w:pStyle w:val="9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对【待提交、资料驳回】状态的数据，可进行编辑、删除及取消操作。</w:t>
      </w:r>
    </w:p>
    <w:p>
      <w:p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点击【审核状态】按钮，可查看当前审核流程，如下图：</w:t>
      </w:r>
    </w:p>
    <w:p>
      <w:pPr>
        <w:pStyle w:val="9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drawing>
          <wp:inline distT="0" distB="0" distL="114300" distR="114300">
            <wp:extent cx="5271770" cy="2583180"/>
            <wp:effectExtent l="0" t="0" r="5080" b="7620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</w:pPr>
    </w:p>
    <w:p>
      <w:pPr>
        <w:pStyle w:val="9"/>
        <w:rPr>
          <w:rFonts w:hint="eastAsia" w:ascii="仿宋_GB2312" w:hAnsi="仿宋_GB2312" w:eastAsia="仿宋_GB2312" w:cs="仿宋_GB2312"/>
          <w:color w:val="auto"/>
          <w:sz w:val="40"/>
          <w:szCs w:val="40"/>
          <w:highlight w:val="none"/>
          <w:shd w:val="clear" w:color="auto" w:fill="auto"/>
          <w:lang w:val="en-US" w:eastAsia="zh-CN"/>
        </w:rPr>
      </w:pPr>
    </w:p>
    <w:p>
      <w:bookmarkStart w:id="23" w:name="_GoBack"/>
      <w:bookmarkEnd w:id="2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197ED"/>
    <w:multiLevelType w:val="multilevel"/>
    <w:tmpl w:val="54F197E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E6C78"/>
    <w:rsid w:val="49CE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numPr>
        <w:ilvl w:val="0"/>
        <w:numId w:val="1"/>
      </w:numPr>
      <w:ind w:left="432" w:hanging="432" w:firstLineChars="0"/>
      <w:outlineLvl w:val="0"/>
    </w:pPr>
    <w:rPr>
      <w:rFonts w:ascii="宋体" w:hAnsi="宋体" w:eastAsia="宋体" w:cs="Times New Roman"/>
      <w:b/>
      <w:bCs/>
      <w:kern w:val="2"/>
      <w:sz w:val="30"/>
      <w:szCs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spacing w:line="360" w:lineRule="auto"/>
      <w:ind w:left="575" w:hanging="575" w:firstLineChars="0"/>
      <w:outlineLvl w:val="1"/>
    </w:pPr>
    <w:rPr>
      <w:rFonts w:ascii="宋体" w:hAnsi="宋体" w:eastAsia="宋体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numPr>
        <w:ilvl w:val="2"/>
        <w:numId w:val="1"/>
      </w:numPr>
      <w:adjustRightInd w:val="0"/>
      <w:spacing w:line="360" w:lineRule="auto"/>
      <w:ind w:left="720" w:hanging="720" w:firstLineChars="0"/>
      <w:outlineLvl w:val="2"/>
    </w:pPr>
    <w:rPr>
      <w:b/>
      <w:bCs/>
      <w:sz w:val="24"/>
      <w:szCs w:val="21"/>
    </w:rPr>
  </w:style>
  <w:style w:type="character" w:default="1" w:styleId="10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99"/>
    <w:pPr>
      <w:spacing w:before="100" w:beforeAutospacing="1" w:after="100" w:afterAutospacing="1"/>
      <w:ind w:left="111"/>
    </w:pPr>
    <w:rPr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toc 1"/>
    <w:basedOn w:val="1"/>
    <w:next w:val="1"/>
    <w:qFormat/>
    <w:uiPriority w:val="0"/>
    <w:pPr>
      <w:ind w:firstLine="0" w:firstLineChars="0"/>
    </w:pPr>
    <w:rPr>
      <w:rFonts w:ascii="Arial" w:hAnsi="Arial" w:eastAsia="宋体"/>
      <w:sz w:val="24"/>
    </w:rPr>
  </w:style>
  <w:style w:type="paragraph" w:styleId="8">
    <w:name w:val="toc 2"/>
    <w:basedOn w:val="1"/>
    <w:next w:val="1"/>
    <w:qFormat/>
    <w:uiPriority w:val="0"/>
    <w:pPr>
      <w:ind w:left="0" w:leftChars="0" w:firstLine="1440" w:firstLineChars="200"/>
    </w:pPr>
    <w:rPr>
      <w:rFonts w:ascii="Times New Roman" w:hAnsi="Times New Roman" w:eastAsia="宋体"/>
    </w:rPr>
  </w:style>
  <w:style w:type="paragraph" w:styleId="9">
    <w:name w:val="Body Text 2"/>
    <w:basedOn w:val="1"/>
    <w:next w:val="1"/>
    <w:qFormat/>
    <w:uiPriority w:val="0"/>
    <w:pPr>
      <w:spacing w:afterLines="0" w:afterAutospacing="0" w:line="360" w:lineRule="auto"/>
      <w:ind w:left="0" w:leftChars="0" w:firstLine="1440" w:firstLineChars="200"/>
    </w:pPr>
  </w:style>
  <w:style w:type="paragraph" w:customStyle="1" w:styleId="12">
    <w:name w:val="5号_正文_左"/>
    <w:basedOn w:val="1"/>
    <w:qFormat/>
    <w:uiPriority w:val="0"/>
    <w:pPr>
      <w:spacing w:before="120" w:after="120"/>
      <w:ind w:firstLine="200"/>
    </w:pPr>
    <w:rPr>
      <w:rFonts w:ascii="宋体" w:hAnsi="Calibri"/>
      <w:szCs w:val="21"/>
    </w:rPr>
  </w:style>
  <w:style w:type="character" w:customStyle="1" w:styleId="13">
    <w:name w:val="标题 1 字符"/>
    <w:link w:val="2"/>
    <w:qFormat/>
    <w:uiPriority w:val="0"/>
    <w:rPr>
      <w:rFonts w:ascii="宋体" w:hAnsi="宋体" w:eastAsia="宋体" w:cs="Times New Roman"/>
      <w:b/>
      <w:bCs/>
      <w:kern w:val="2"/>
      <w:sz w:val="30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2023-04-28T08:46:00Z</dcterms:created>
  <dc:creator>57</dc:creator>
  <cp:lastModifiedBy>57</cp:lastModifiedBy>
  <dcterms:modified xsi:type="dcterms:W3CDTF">2023-04-28T08:49:32Z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