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eastAsia="方正小标宋简体"/>
          <w:kern w:val="0"/>
          <w:sz w:val="40"/>
          <w:szCs w:val="40"/>
        </w:rPr>
      </w:pPr>
      <w:r>
        <w:rPr>
          <w:rFonts w:hint="eastAsia" w:ascii="黑体" w:hAnsi="黑体" w:eastAsia="黑体" w:cs="黑体"/>
          <w:kern w:val="0"/>
        </w:rPr>
        <w:t>附件</w:t>
      </w:r>
      <w:r>
        <w:rPr>
          <w:rFonts w:ascii="黑体" w:hAnsi="黑体" w:eastAsia="黑体" w:cs="黑体"/>
          <w:kern w:val="0"/>
        </w:rPr>
        <w:t>2</w:t>
      </w:r>
    </w:p>
    <w:p>
      <w:pPr>
        <w:spacing w:line="560" w:lineRule="exact"/>
        <w:jc w:val="center"/>
        <w:rPr>
          <w:rFonts w:eastAsia="方正小标宋简体"/>
          <w:kern w:val="0"/>
          <w:sz w:val="40"/>
          <w:szCs w:val="40"/>
        </w:rPr>
      </w:pPr>
      <w:r>
        <w:rPr>
          <w:rFonts w:ascii="仿宋" w:hAnsi="仿宋" w:eastAsia="仿宋" w:cs="仿宋"/>
          <w:kern w:val="0"/>
          <w:sz w:val="40"/>
          <w:szCs w:val="40"/>
        </w:rPr>
        <w:t>2019</w:t>
      </w:r>
      <w:r>
        <w:rPr>
          <w:rFonts w:hint="eastAsia" w:eastAsia="方正小标宋简体"/>
          <w:kern w:val="0"/>
          <w:sz w:val="40"/>
          <w:szCs w:val="40"/>
        </w:rPr>
        <w:t>年度部门整体支出绩效自评表</w:t>
      </w:r>
    </w:p>
    <w:p>
      <w:pPr>
        <w:spacing w:line="560" w:lineRule="exact"/>
        <w:jc w:val="center"/>
        <w:rPr>
          <w:rFonts w:eastAsia="方正小标宋简体"/>
          <w:kern w:val="0"/>
          <w:sz w:val="40"/>
          <w:szCs w:val="40"/>
        </w:rPr>
      </w:pPr>
    </w:p>
    <w:tbl>
      <w:tblPr>
        <w:tblStyle w:val="6"/>
        <w:tblW w:w="9343"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503"/>
        <w:gridCol w:w="503"/>
        <w:gridCol w:w="91"/>
        <w:gridCol w:w="412"/>
        <w:gridCol w:w="180"/>
        <w:gridCol w:w="323"/>
        <w:gridCol w:w="156"/>
        <w:gridCol w:w="627"/>
        <w:gridCol w:w="517"/>
        <w:gridCol w:w="537"/>
        <w:gridCol w:w="1231"/>
        <w:gridCol w:w="569"/>
        <w:gridCol w:w="146"/>
        <w:gridCol w:w="363"/>
        <w:gridCol w:w="1593"/>
        <w:gridCol w:w="717"/>
        <w:gridCol w:w="8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39" w:hRule="atLeast"/>
          <w:jc w:val="center"/>
        </w:trPr>
        <w:tc>
          <w:tcPr>
            <w:tcW w:w="1689" w:type="dxa"/>
            <w:gridSpan w:val="5"/>
            <w:tcMar>
              <w:top w:w="15" w:type="dxa"/>
              <w:left w:w="15" w:type="dxa"/>
              <w:bottom w:w="0" w:type="dxa"/>
              <w:right w:w="15" w:type="dxa"/>
            </w:tcMar>
            <w:vAlign w:val="center"/>
          </w:tcPr>
          <w:p>
            <w:pPr>
              <w:spacing w:line="250" w:lineRule="exact"/>
              <w:jc w:val="center"/>
              <w:rPr>
                <w:rFonts w:ascii="宋体" w:hAnsi="宋体" w:eastAsia="宋体" w:cs="宋体"/>
                <w:color w:val="000000"/>
                <w:sz w:val="21"/>
                <w:szCs w:val="21"/>
              </w:rPr>
            </w:pPr>
            <w:r>
              <w:rPr>
                <w:rFonts w:hint="eastAsia" w:ascii="宋体" w:hAnsi="宋体" w:eastAsia="宋体" w:cs="宋体"/>
                <w:color w:val="000000"/>
                <w:sz w:val="21"/>
                <w:szCs w:val="21"/>
              </w:rPr>
              <w:t>部门名称</w:t>
            </w:r>
          </w:p>
        </w:tc>
        <w:tc>
          <w:tcPr>
            <w:tcW w:w="3960" w:type="dxa"/>
            <w:gridSpan w:val="7"/>
            <w:tcMar>
              <w:top w:w="15" w:type="dxa"/>
              <w:left w:w="15" w:type="dxa"/>
              <w:bottom w:w="0" w:type="dxa"/>
              <w:right w:w="15" w:type="dxa"/>
            </w:tcMar>
            <w:vAlign w:val="center"/>
          </w:tcPr>
          <w:p>
            <w:pPr>
              <w:spacing w:line="250" w:lineRule="exact"/>
              <w:jc w:val="center"/>
              <w:rPr>
                <w:rFonts w:ascii="宋体" w:hAnsi="宋体" w:eastAsia="宋体" w:cs="宋体"/>
                <w:color w:val="000000"/>
                <w:sz w:val="21"/>
                <w:szCs w:val="21"/>
              </w:rPr>
            </w:pPr>
            <w:r>
              <w:rPr>
                <w:rFonts w:hint="eastAsia" w:ascii="宋体" w:hAnsi="宋体" w:eastAsia="宋体" w:cs="宋体"/>
                <w:color w:val="000000"/>
                <w:sz w:val="21"/>
                <w:szCs w:val="21"/>
              </w:rPr>
              <w:t>　长沙市望城区人民政府办公室</w:t>
            </w:r>
          </w:p>
        </w:tc>
        <w:tc>
          <w:tcPr>
            <w:tcW w:w="2102" w:type="dxa"/>
            <w:gridSpan w:val="3"/>
            <w:tcMar>
              <w:top w:w="15" w:type="dxa"/>
              <w:left w:w="15" w:type="dxa"/>
              <w:bottom w:w="0" w:type="dxa"/>
              <w:right w:w="15" w:type="dxa"/>
            </w:tcMar>
            <w:vAlign w:val="center"/>
          </w:tcPr>
          <w:p>
            <w:pPr>
              <w:spacing w:line="250" w:lineRule="exact"/>
              <w:jc w:val="center"/>
              <w:rPr>
                <w:rFonts w:ascii="宋体" w:hAnsi="宋体" w:eastAsia="宋体" w:cs="宋体"/>
                <w:color w:val="000000"/>
                <w:sz w:val="21"/>
                <w:szCs w:val="21"/>
              </w:rPr>
            </w:pPr>
            <w:r>
              <w:rPr>
                <w:rFonts w:hint="eastAsia" w:ascii="宋体" w:hAnsi="宋体" w:eastAsia="宋体" w:cs="宋体"/>
                <w:color w:val="000000"/>
                <w:sz w:val="21"/>
                <w:szCs w:val="21"/>
              </w:rPr>
              <w:t>下属单位个数</w:t>
            </w:r>
          </w:p>
        </w:tc>
        <w:tc>
          <w:tcPr>
            <w:tcW w:w="1592" w:type="dxa"/>
            <w:gridSpan w:val="2"/>
            <w:tcMar>
              <w:top w:w="15" w:type="dxa"/>
              <w:left w:w="15" w:type="dxa"/>
              <w:bottom w:w="0" w:type="dxa"/>
              <w:right w:w="15" w:type="dxa"/>
            </w:tcMar>
            <w:vAlign w:val="center"/>
          </w:tcPr>
          <w:p>
            <w:pPr>
              <w:spacing w:line="250" w:lineRule="exact"/>
              <w:jc w:val="center"/>
              <w:rPr>
                <w:rFonts w:ascii="宋体" w:hAnsi="宋体" w:eastAsia="宋体" w:cs="宋体"/>
                <w:color w:val="000000"/>
                <w:sz w:val="21"/>
                <w:szCs w:val="21"/>
              </w:rPr>
            </w:pPr>
            <w:r>
              <w:rPr>
                <w:rFonts w:ascii="宋体" w:hAnsi="宋体" w:eastAsia="宋体" w:cs="宋体"/>
                <w:color w:val="000000"/>
                <w:sz w:val="21"/>
                <w:szCs w:val="21"/>
              </w:rPr>
              <w:t>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39" w:hRule="atLeast"/>
          <w:jc w:val="center"/>
        </w:trPr>
        <w:tc>
          <w:tcPr>
            <w:tcW w:w="1689" w:type="dxa"/>
            <w:gridSpan w:val="5"/>
            <w:vMerge w:val="restart"/>
            <w:tcMar>
              <w:top w:w="15" w:type="dxa"/>
              <w:left w:w="15" w:type="dxa"/>
              <w:bottom w:w="0" w:type="dxa"/>
              <w:right w:w="15" w:type="dxa"/>
            </w:tcMar>
            <w:vAlign w:val="center"/>
          </w:tcPr>
          <w:p>
            <w:pPr>
              <w:spacing w:line="250" w:lineRule="exact"/>
              <w:jc w:val="center"/>
              <w:rPr>
                <w:rFonts w:ascii="宋体" w:hAnsi="宋体" w:eastAsia="宋体" w:cs="宋体"/>
                <w:color w:val="000000"/>
                <w:sz w:val="21"/>
                <w:szCs w:val="21"/>
              </w:rPr>
            </w:pPr>
            <w:r>
              <w:rPr>
                <w:rFonts w:hint="eastAsia" w:ascii="宋体" w:hAnsi="宋体" w:eastAsia="宋体" w:cs="宋体"/>
                <w:color w:val="000000"/>
                <w:sz w:val="21"/>
                <w:szCs w:val="21"/>
              </w:rPr>
              <w:t>整体支出规模</w:t>
            </w:r>
          </w:p>
        </w:tc>
        <w:tc>
          <w:tcPr>
            <w:tcW w:w="2160" w:type="dxa"/>
            <w:gridSpan w:val="5"/>
            <w:tcMar>
              <w:top w:w="15" w:type="dxa"/>
              <w:left w:w="15" w:type="dxa"/>
              <w:bottom w:w="0" w:type="dxa"/>
              <w:right w:w="15" w:type="dxa"/>
            </w:tcMar>
            <w:vAlign w:val="center"/>
          </w:tcPr>
          <w:p>
            <w:pPr>
              <w:spacing w:line="250" w:lineRule="exact"/>
              <w:jc w:val="center"/>
              <w:rPr>
                <w:rFonts w:ascii="宋体" w:hAnsi="宋体" w:eastAsia="宋体" w:cs="宋体"/>
                <w:color w:val="000000"/>
                <w:sz w:val="21"/>
                <w:szCs w:val="21"/>
              </w:rPr>
            </w:pPr>
            <w:r>
              <w:rPr>
                <w:rFonts w:hint="eastAsia" w:ascii="宋体" w:hAnsi="宋体" w:eastAsia="宋体" w:cs="宋体"/>
                <w:color w:val="000000"/>
                <w:sz w:val="21"/>
                <w:szCs w:val="21"/>
              </w:rPr>
              <w:t>　项</w:t>
            </w:r>
            <w:r>
              <w:rPr>
                <w:rFonts w:ascii="宋体" w:hAnsi="宋体" w:eastAsia="宋体" w:cs="宋体"/>
                <w:color w:val="000000"/>
                <w:sz w:val="21"/>
                <w:szCs w:val="21"/>
              </w:rPr>
              <w:t xml:space="preserve">   </w:t>
            </w:r>
            <w:r>
              <w:rPr>
                <w:rFonts w:hint="eastAsia" w:ascii="宋体" w:hAnsi="宋体" w:eastAsia="宋体" w:cs="宋体"/>
                <w:color w:val="000000"/>
                <w:sz w:val="21"/>
                <w:szCs w:val="21"/>
              </w:rPr>
              <w:t>目</w:t>
            </w:r>
          </w:p>
        </w:tc>
        <w:tc>
          <w:tcPr>
            <w:tcW w:w="2309" w:type="dxa"/>
            <w:gridSpan w:val="4"/>
            <w:tcMar>
              <w:top w:w="15" w:type="dxa"/>
              <w:left w:w="15" w:type="dxa"/>
              <w:bottom w:w="0" w:type="dxa"/>
              <w:right w:w="15" w:type="dxa"/>
            </w:tcMar>
            <w:vAlign w:val="center"/>
          </w:tcPr>
          <w:p>
            <w:pPr>
              <w:spacing w:line="250" w:lineRule="exact"/>
              <w:jc w:val="center"/>
              <w:rPr>
                <w:rFonts w:ascii="宋体" w:hAnsi="宋体" w:eastAsia="宋体" w:cs="宋体"/>
                <w:color w:val="000000"/>
                <w:sz w:val="21"/>
                <w:szCs w:val="21"/>
              </w:rPr>
            </w:pPr>
            <w:r>
              <w:rPr>
                <w:rFonts w:hint="eastAsia" w:ascii="宋体" w:hAnsi="宋体" w:eastAsia="宋体" w:cs="宋体"/>
                <w:color w:val="000000"/>
                <w:sz w:val="21"/>
                <w:szCs w:val="21"/>
              </w:rPr>
              <w:t>全年预算数</w:t>
            </w:r>
          </w:p>
        </w:tc>
        <w:tc>
          <w:tcPr>
            <w:tcW w:w="2310" w:type="dxa"/>
            <w:gridSpan w:val="2"/>
            <w:tcMar>
              <w:top w:w="15" w:type="dxa"/>
              <w:left w:w="15" w:type="dxa"/>
              <w:bottom w:w="0" w:type="dxa"/>
              <w:right w:w="15" w:type="dxa"/>
            </w:tcMar>
            <w:vAlign w:val="center"/>
          </w:tcPr>
          <w:p>
            <w:pPr>
              <w:spacing w:line="250" w:lineRule="exact"/>
              <w:jc w:val="center"/>
              <w:rPr>
                <w:rFonts w:ascii="宋体" w:hAnsi="宋体" w:eastAsia="宋体" w:cs="宋体"/>
                <w:color w:val="000000"/>
                <w:sz w:val="21"/>
                <w:szCs w:val="21"/>
              </w:rPr>
            </w:pPr>
            <w:r>
              <w:rPr>
                <w:rFonts w:hint="eastAsia" w:ascii="宋体" w:hAnsi="宋体" w:eastAsia="宋体" w:cs="宋体"/>
                <w:color w:val="000000"/>
                <w:sz w:val="21"/>
                <w:szCs w:val="21"/>
              </w:rPr>
              <w:t>全年执行数</w:t>
            </w:r>
          </w:p>
        </w:tc>
        <w:tc>
          <w:tcPr>
            <w:tcW w:w="875" w:type="dxa"/>
            <w:tcMar>
              <w:top w:w="15" w:type="dxa"/>
              <w:left w:w="15" w:type="dxa"/>
              <w:bottom w:w="0" w:type="dxa"/>
              <w:right w:w="15" w:type="dxa"/>
            </w:tcMar>
            <w:vAlign w:val="center"/>
          </w:tcPr>
          <w:p>
            <w:pPr>
              <w:spacing w:line="250" w:lineRule="exact"/>
              <w:jc w:val="center"/>
              <w:rPr>
                <w:rFonts w:ascii="宋体" w:hAnsi="宋体" w:eastAsia="宋体" w:cs="宋体"/>
                <w:color w:val="000000"/>
                <w:sz w:val="21"/>
                <w:szCs w:val="21"/>
              </w:rPr>
            </w:pPr>
            <w:r>
              <w:rPr>
                <w:rFonts w:hint="eastAsia" w:ascii="宋体" w:hAnsi="宋体" w:eastAsia="宋体" w:cs="宋体"/>
                <w:color w:val="000000"/>
                <w:sz w:val="21"/>
                <w:szCs w:val="21"/>
              </w:rPr>
              <w:t>执行率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39" w:hRule="atLeast"/>
          <w:jc w:val="center"/>
        </w:trPr>
        <w:tc>
          <w:tcPr>
            <w:tcW w:w="1689" w:type="dxa"/>
            <w:gridSpan w:val="5"/>
            <w:vMerge w:val="continue"/>
            <w:vAlign w:val="center"/>
          </w:tcPr>
          <w:p>
            <w:pPr>
              <w:spacing w:line="250" w:lineRule="exact"/>
              <w:rPr>
                <w:rFonts w:ascii="宋体" w:hAnsi="宋体" w:eastAsia="宋体" w:cs="宋体"/>
                <w:color w:val="000000"/>
                <w:sz w:val="21"/>
                <w:szCs w:val="21"/>
              </w:rPr>
            </w:pPr>
          </w:p>
        </w:tc>
        <w:tc>
          <w:tcPr>
            <w:tcW w:w="479" w:type="dxa"/>
            <w:gridSpan w:val="2"/>
            <w:vMerge w:val="restart"/>
            <w:tcMar>
              <w:top w:w="15" w:type="dxa"/>
              <w:left w:w="15" w:type="dxa"/>
              <w:bottom w:w="0" w:type="dxa"/>
              <w:right w:w="15" w:type="dxa"/>
            </w:tcMar>
            <w:vAlign w:val="center"/>
          </w:tcPr>
          <w:p>
            <w:pPr>
              <w:spacing w:line="250" w:lineRule="exact"/>
              <w:jc w:val="center"/>
              <w:rPr>
                <w:rFonts w:ascii="宋体" w:hAnsi="宋体" w:eastAsia="宋体" w:cs="宋体"/>
                <w:color w:val="000000"/>
                <w:sz w:val="21"/>
                <w:szCs w:val="21"/>
              </w:rPr>
            </w:pPr>
            <w:r>
              <w:rPr>
                <w:rFonts w:hint="eastAsia" w:ascii="宋体" w:hAnsi="宋体" w:eastAsia="宋体" w:cs="宋体"/>
                <w:color w:val="000000"/>
                <w:sz w:val="21"/>
                <w:szCs w:val="21"/>
              </w:rPr>
              <w:t>资</w:t>
            </w:r>
          </w:p>
          <w:p>
            <w:pPr>
              <w:spacing w:line="250" w:lineRule="exact"/>
              <w:jc w:val="center"/>
              <w:rPr>
                <w:rFonts w:ascii="宋体" w:hAnsi="宋体" w:eastAsia="宋体" w:cs="宋体"/>
                <w:color w:val="000000"/>
                <w:sz w:val="21"/>
                <w:szCs w:val="21"/>
              </w:rPr>
            </w:pPr>
            <w:r>
              <w:rPr>
                <w:rFonts w:hint="eastAsia" w:ascii="宋体" w:hAnsi="宋体" w:eastAsia="宋体" w:cs="宋体"/>
                <w:color w:val="000000"/>
                <w:sz w:val="21"/>
                <w:szCs w:val="21"/>
              </w:rPr>
              <w:t>金</w:t>
            </w:r>
          </w:p>
          <w:p>
            <w:pPr>
              <w:spacing w:line="250" w:lineRule="exact"/>
              <w:jc w:val="center"/>
              <w:rPr>
                <w:rFonts w:ascii="宋体" w:hAnsi="宋体" w:eastAsia="宋体" w:cs="宋体"/>
                <w:color w:val="000000"/>
                <w:sz w:val="21"/>
                <w:szCs w:val="21"/>
              </w:rPr>
            </w:pPr>
            <w:r>
              <w:rPr>
                <w:rFonts w:hint="eastAsia" w:ascii="宋体" w:hAnsi="宋体" w:eastAsia="宋体" w:cs="宋体"/>
                <w:color w:val="000000"/>
                <w:sz w:val="21"/>
                <w:szCs w:val="21"/>
              </w:rPr>
              <w:t>来</w:t>
            </w:r>
          </w:p>
          <w:p>
            <w:pPr>
              <w:spacing w:line="250" w:lineRule="exact"/>
              <w:jc w:val="center"/>
              <w:rPr>
                <w:rFonts w:ascii="宋体" w:hAnsi="宋体" w:eastAsia="宋体" w:cs="宋体"/>
                <w:color w:val="000000"/>
                <w:sz w:val="21"/>
                <w:szCs w:val="21"/>
              </w:rPr>
            </w:pPr>
            <w:r>
              <w:rPr>
                <w:rFonts w:hint="eastAsia" w:ascii="宋体" w:hAnsi="宋体" w:eastAsia="宋体" w:cs="宋体"/>
                <w:color w:val="000000"/>
                <w:sz w:val="21"/>
                <w:szCs w:val="21"/>
              </w:rPr>
              <w:t>源</w:t>
            </w:r>
          </w:p>
          <w:p>
            <w:pPr>
              <w:spacing w:line="250" w:lineRule="exact"/>
              <w:jc w:val="center"/>
              <w:rPr>
                <w:rFonts w:ascii="宋体" w:hAnsi="宋体" w:eastAsia="宋体" w:cs="宋体"/>
                <w:color w:val="000000"/>
                <w:sz w:val="21"/>
                <w:szCs w:val="21"/>
              </w:rPr>
            </w:pPr>
          </w:p>
        </w:tc>
        <w:tc>
          <w:tcPr>
            <w:tcW w:w="1681" w:type="dxa"/>
            <w:gridSpan w:val="3"/>
            <w:tcMar>
              <w:top w:w="15" w:type="dxa"/>
              <w:left w:w="15" w:type="dxa"/>
              <w:bottom w:w="0" w:type="dxa"/>
              <w:right w:w="15" w:type="dxa"/>
            </w:tcMar>
            <w:vAlign w:val="center"/>
          </w:tcPr>
          <w:p>
            <w:pPr>
              <w:spacing w:line="250" w:lineRule="exact"/>
              <w:jc w:val="center"/>
              <w:rPr>
                <w:rFonts w:ascii="宋体" w:hAnsi="宋体" w:eastAsia="宋体" w:cs="宋体"/>
                <w:color w:val="000000"/>
                <w:sz w:val="21"/>
                <w:szCs w:val="21"/>
              </w:rPr>
            </w:pPr>
            <w:r>
              <w:rPr>
                <w:rFonts w:hint="eastAsia" w:ascii="宋体" w:hAnsi="宋体" w:eastAsia="宋体" w:cs="宋体"/>
                <w:color w:val="000000"/>
                <w:sz w:val="21"/>
                <w:szCs w:val="21"/>
              </w:rPr>
              <w:t>合计</w:t>
            </w:r>
          </w:p>
        </w:tc>
        <w:tc>
          <w:tcPr>
            <w:tcW w:w="2309" w:type="dxa"/>
            <w:gridSpan w:val="4"/>
            <w:tcMar>
              <w:top w:w="15" w:type="dxa"/>
              <w:left w:w="15" w:type="dxa"/>
              <w:bottom w:w="0" w:type="dxa"/>
              <w:right w:w="15" w:type="dxa"/>
            </w:tcMar>
            <w:vAlign w:val="center"/>
          </w:tcPr>
          <w:p>
            <w:pPr>
              <w:spacing w:line="250" w:lineRule="exact"/>
              <w:jc w:val="center"/>
              <w:rPr>
                <w:rFonts w:ascii="宋体" w:hAnsi="宋体" w:eastAsia="宋体" w:cs="宋体"/>
                <w:color w:val="000000"/>
                <w:sz w:val="21"/>
                <w:szCs w:val="21"/>
              </w:rPr>
            </w:pPr>
            <w:r>
              <w:rPr>
                <w:rFonts w:ascii="宋体" w:hAnsi="宋体" w:eastAsia="宋体" w:cs="宋体"/>
                <w:color w:val="000000"/>
                <w:sz w:val="21"/>
                <w:szCs w:val="21"/>
              </w:rPr>
              <w:t>26</w:t>
            </w:r>
            <w:r>
              <w:rPr>
                <w:rFonts w:hint="eastAsia" w:ascii="宋体" w:hAnsi="宋体" w:eastAsia="宋体" w:cs="宋体"/>
                <w:color w:val="000000"/>
                <w:sz w:val="21"/>
                <w:szCs w:val="21"/>
              </w:rPr>
              <w:t>，</w:t>
            </w:r>
            <w:r>
              <w:rPr>
                <w:rFonts w:ascii="宋体" w:hAnsi="宋体" w:eastAsia="宋体" w:cs="宋体"/>
                <w:color w:val="000000"/>
                <w:sz w:val="21"/>
                <w:szCs w:val="21"/>
              </w:rPr>
              <w:t>983</w:t>
            </w:r>
            <w:r>
              <w:rPr>
                <w:rFonts w:hint="eastAsia" w:ascii="宋体" w:hAnsi="宋体" w:eastAsia="宋体" w:cs="宋体"/>
                <w:color w:val="000000"/>
                <w:sz w:val="21"/>
                <w:szCs w:val="21"/>
              </w:rPr>
              <w:t>，</w:t>
            </w:r>
            <w:r>
              <w:rPr>
                <w:rFonts w:ascii="宋体" w:hAnsi="宋体" w:eastAsia="宋体" w:cs="宋体"/>
                <w:color w:val="000000"/>
                <w:sz w:val="21"/>
                <w:szCs w:val="21"/>
              </w:rPr>
              <w:t>991</w:t>
            </w:r>
          </w:p>
        </w:tc>
        <w:tc>
          <w:tcPr>
            <w:tcW w:w="2310" w:type="dxa"/>
            <w:gridSpan w:val="2"/>
            <w:tcMar>
              <w:top w:w="15" w:type="dxa"/>
              <w:left w:w="15" w:type="dxa"/>
              <w:bottom w:w="0" w:type="dxa"/>
              <w:right w:w="15" w:type="dxa"/>
            </w:tcMar>
            <w:vAlign w:val="center"/>
          </w:tcPr>
          <w:p>
            <w:pPr>
              <w:spacing w:line="250" w:lineRule="exact"/>
              <w:jc w:val="center"/>
              <w:rPr>
                <w:rFonts w:ascii="宋体" w:hAnsi="宋体" w:eastAsia="宋体" w:cs="宋体"/>
                <w:color w:val="000000"/>
                <w:sz w:val="21"/>
                <w:szCs w:val="21"/>
              </w:rPr>
            </w:pPr>
            <w:r>
              <w:rPr>
                <w:rFonts w:hint="eastAsia" w:ascii="宋体" w:hAnsi="宋体" w:eastAsia="宋体" w:cs="宋体"/>
                <w:color w:val="000000"/>
                <w:sz w:val="21"/>
                <w:szCs w:val="21"/>
              </w:rPr>
              <w:t>　</w:t>
            </w:r>
            <w:r>
              <w:rPr>
                <w:rFonts w:ascii="宋体" w:hAnsi="宋体" w:eastAsia="宋体" w:cs="宋体"/>
                <w:color w:val="000000"/>
                <w:sz w:val="21"/>
                <w:szCs w:val="21"/>
              </w:rPr>
              <w:t>23</w:t>
            </w:r>
            <w:r>
              <w:rPr>
                <w:rFonts w:hint="eastAsia" w:ascii="宋体" w:hAnsi="宋体" w:eastAsia="宋体" w:cs="宋体"/>
                <w:color w:val="000000"/>
                <w:sz w:val="21"/>
                <w:szCs w:val="21"/>
              </w:rPr>
              <w:t>，</w:t>
            </w:r>
            <w:r>
              <w:rPr>
                <w:rFonts w:ascii="宋体" w:hAnsi="宋体" w:eastAsia="宋体" w:cs="宋体"/>
                <w:color w:val="000000"/>
                <w:sz w:val="21"/>
                <w:szCs w:val="21"/>
              </w:rPr>
              <w:t>139</w:t>
            </w:r>
            <w:r>
              <w:rPr>
                <w:rFonts w:hint="eastAsia" w:ascii="宋体" w:hAnsi="宋体" w:eastAsia="宋体" w:cs="宋体"/>
                <w:color w:val="000000"/>
                <w:sz w:val="21"/>
                <w:szCs w:val="21"/>
              </w:rPr>
              <w:t>，</w:t>
            </w:r>
            <w:r>
              <w:rPr>
                <w:rFonts w:ascii="宋体" w:hAnsi="宋体" w:eastAsia="宋体" w:cs="宋体"/>
                <w:color w:val="000000"/>
                <w:sz w:val="21"/>
                <w:szCs w:val="21"/>
              </w:rPr>
              <w:t>793.42</w:t>
            </w:r>
          </w:p>
        </w:tc>
        <w:tc>
          <w:tcPr>
            <w:tcW w:w="875" w:type="dxa"/>
            <w:tcMar>
              <w:top w:w="15" w:type="dxa"/>
              <w:left w:w="15" w:type="dxa"/>
              <w:bottom w:w="0" w:type="dxa"/>
              <w:right w:w="15" w:type="dxa"/>
            </w:tcMar>
            <w:vAlign w:val="center"/>
          </w:tcPr>
          <w:p>
            <w:pPr>
              <w:spacing w:line="250" w:lineRule="exact"/>
              <w:jc w:val="center"/>
              <w:rPr>
                <w:rFonts w:ascii="宋体" w:hAnsi="宋体" w:eastAsia="宋体" w:cs="宋体"/>
                <w:color w:val="000000"/>
                <w:sz w:val="21"/>
                <w:szCs w:val="21"/>
              </w:rPr>
            </w:pPr>
            <w:r>
              <w:rPr>
                <w:rFonts w:ascii="宋体" w:hAnsi="宋体" w:eastAsia="宋体" w:cs="宋体"/>
                <w:color w:val="000000"/>
                <w:sz w:val="21"/>
                <w:szCs w:val="21"/>
              </w:rPr>
              <w:t>85.75%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39" w:hRule="atLeast"/>
          <w:jc w:val="center"/>
        </w:trPr>
        <w:tc>
          <w:tcPr>
            <w:tcW w:w="1689" w:type="dxa"/>
            <w:gridSpan w:val="5"/>
            <w:vMerge w:val="continue"/>
            <w:vAlign w:val="center"/>
          </w:tcPr>
          <w:p>
            <w:pPr>
              <w:spacing w:line="250" w:lineRule="exact"/>
              <w:rPr>
                <w:rFonts w:ascii="宋体" w:hAnsi="宋体" w:eastAsia="宋体" w:cs="宋体"/>
                <w:color w:val="000000"/>
                <w:sz w:val="21"/>
                <w:szCs w:val="21"/>
              </w:rPr>
            </w:pPr>
          </w:p>
        </w:tc>
        <w:tc>
          <w:tcPr>
            <w:tcW w:w="479" w:type="dxa"/>
            <w:gridSpan w:val="2"/>
            <w:vMerge w:val="continue"/>
            <w:tcMar>
              <w:top w:w="15" w:type="dxa"/>
              <w:left w:w="15" w:type="dxa"/>
              <w:bottom w:w="0" w:type="dxa"/>
              <w:right w:w="15" w:type="dxa"/>
            </w:tcMar>
            <w:vAlign w:val="center"/>
          </w:tcPr>
          <w:p>
            <w:pPr>
              <w:spacing w:line="250" w:lineRule="exact"/>
              <w:jc w:val="center"/>
              <w:rPr>
                <w:rFonts w:ascii="宋体" w:hAnsi="宋体" w:eastAsia="宋体" w:cs="宋体"/>
                <w:color w:val="000000"/>
                <w:sz w:val="21"/>
                <w:szCs w:val="21"/>
              </w:rPr>
            </w:pPr>
          </w:p>
        </w:tc>
        <w:tc>
          <w:tcPr>
            <w:tcW w:w="1681" w:type="dxa"/>
            <w:gridSpan w:val="3"/>
            <w:tcMar>
              <w:top w:w="15" w:type="dxa"/>
              <w:left w:w="15" w:type="dxa"/>
              <w:bottom w:w="0" w:type="dxa"/>
              <w:right w:w="15" w:type="dxa"/>
            </w:tcMar>
            <w:vAlign w:val="center"/>
          </w:tcPr>
          <w:p>
            <w:pPr>
              <w:spacing w:line="250" w:lineRule="exact"/>
              <w:jc w:val="center"/>
              <w:rPr>
                <w:rFonts w:ascii="宋体" w:hAnsi="宋体" w:eastAsia="宋体" w:cs="宋体"/>
                <w:color w:val="000000"/>
                <w:sz w:val="21"/>
                <w:szCs w:val="21"/>
              </w:rPr>
            </w:pPr>
            <w:r>
              <w:rPr>
                <w:rFonts w:hint="eastAsia" w:ascii="宋体" w:hAnsi="宋体" w:eastAsia="宋体" w:cs="宋体"/>
                <w:color w:val="000000"/>
                <w:sz w:val="21"/>
                <w:szCs w:val="21"/>
              </w:rPr>
              <w:t>（</w:t>
            </w:r>
            <w:r>
              <w:rPr>
                <w:rFonts w:ascii="宋体" w:hAnsi="宋体" w:eastAsia="宋体" w:cs="宋体"/>
                <w:color w:val="000000"/>
                <w:sz w:val="21"/>
                <w:szCs w:val="21"/>
              </w:rPr>
              <w:t>1</w:t>
            </w:r>
            <w:r>
              <w:rPr>
                <w:rFonts w:hint="eastAsia" w:ascii="宋体" w:hAnsi="宋体" w:eastAsia="宋体" w:cs="宋体"/>
                <w:color w:val="000000"/>
                <w:sz w:val="21"/>
                <w:szCs w:val="21"/>
              </w:rPr>
              <w:t>）财政拨款</w:t>
            </w:r>
          </w:p>
        </w:tc>
        <w:tc>
          <w:tcPr>
            <w:tcW w:w="2309" w:type="dxa"/>
            <w:gridSpan w:val="4"/>
            <w:tcMar>
              <w:top w:w="15" w:type="dxa"/>
              <w:left w:w="15" w:type="dxa"/>
              <w:bottom w:w="0" w:type="dxa"/>
              <w:right w:w="15" w:type="dxa"/>
            </w:tcMar>
            <w:vAlign w:val="center"/>
          </w:tcPr>
          <w:p>
            <w:pPr>
              <w:spacing w:line="250" w:lineRule="exact"/>
              <w:jc w:val="center"/>
              <w:rPr>
                <w:rFonts w:ascii="宋体" w:hAnsi="宋体" w:eastAsia="宋体" w:cs="宋体"/>
                <w:color w:val="000000"/>
                <w:sz w:val="21"/>
                <w:szCs w:val="21"/>
              </w:rPr>
            </w:pPr>
            <w:r>
              <w:rPr>
                <w:rFonts w:ascii="宋体" w:hAnsi="宋体" w:eastAsia="宋体" w:cs="宋体"/>
                <w:color w:val="000000"/>
                <w:sz w:val="21"/>
                <w:szCs w:val="21"/>
              </w:rPr>
              <w:t>26</w:t>
            </w:r>
            <w:r>
              <w:rPr>
                <w:rFonts w:hint="eastAsia" w:ascii="宋体" w:hAnsi="宋体" w:eastAsia="宋体" w:cs="宋体"/>
                <w:color w:val="000000"/>
                <w:sz w:val="21"/>
                <w:szCs w:val="21"/>
              </w:rPr>
              <w:t>，</w:t>
            </w:r>
            <w:r>
              <w:rPr>
                <w:rFonts w:ascii="宋体" w:hAnsi="宋体" w:eastAsia="宋体" w:cs="宋体"/>
                <w:color w:val="000000"/>
                <w:sz w:val="21"/>
                <w:szCs w:val="21"/>
              </w:rPr>
              <w:t>983</w:t>
            </w:r>
            <w:r>
              <w:rPr>
                <w:rFonts w:hint="eastAsia" w:ascii="宋体" w:hAnsi="宋体" w:eastAsia="宋体" w:cs="宋体"/>
                <w:color w:val="000000"/>
                <w:sz w:val="21"/>
                <w:szCs w:val="21"/>
              </w:rPr>
              <w:t>，</w:t>
            </w:r>
            <w:r>
              <w:rPr>
                <w:rFonts w:ascii="宋体" w:hAnsi="宋体" w:eastAsia="宋体" w:cs="宋体"/>
                <w:color w:val="000000"/>
                <w:sz w:val="21"/>
                <w:szCs w:val="21"/>
              </w:rPr>
              <w:t>911</w:t>
            </w:r>
          </w:p>
        </w:tc>
        <w:tc>
          <w:tcPr>
            <w:tcW w:w="2310" w:type="dxa"/>
            <w:gridSpan w:val="2"/>
            <w:tcMar>
              <w:top w:w="15" w:type="dxa"/>
              <w:left w:w="15" w:type="dxa"/>
              <w:bottom w:w="0" w:type="dxa"/>
              <w:right w:w="15" w:type="dxa"/>
            </w:tcMar>
            <w:vAlign w:val="center"/>
          </w:tcPr>
          <w:p>
            <w:pPr>
              <w:spacing w:line="250" w:lineRule="exact"/>
              <w:jc w:val="center"/>
              <w:rPr>
                <w:rFonts w:ascii="宋体" w:hAnsi="宋体" w:eastAsia="宋体" w:cs="宋体"/>
                <w:color w:val="000000"/>
                <w:sz w:val="21"/>
                <w:szCs w:val="21"/>
              </w:rPr>
            </w:pPr>
            <w:r>
              <w:rPr>
                <w:rFonts w:hint="eastAsia" w:ascii="宋体" w:hAnsi="宋体" w:eastAsia="宋体" w:cs="宋体"/>
                <w:color w:val="000000"/>
                <w:sz w:val="21"/>
                <w:szCs w:val="21"/>
              </w:rPr>
              <w:t>　</w:t>
            </w:r>
            <w:r>
              <w:rPr>
                <w:rFonts w:ascii="宋体" w:hAnsi="宋体" w:eastAsia="宋体" w:cs="宋体"/>
                <w:color w:val="000000"/>
                <w:sz w:val="21"/>
                <w:szCs w:val="21"/>
              </w:rPr>
              <w:t>23</w:t>
            </w:r>
            <w:r>
              <w:rPr>
                <w:rFonts w:hint="eastAsia" w:ascii="宋体" w:hAnsi="宋体" w:eastAsia="宋体" w:cs="宋体"/>
                <w:color w:val="000000"/>
                <w:sz w:val="21"/>
                <w:szCs w:val="21"/>
              </w:rPr>
              <w:t>，</w:t>
            </w:r>
            <w:r>
              <w:rPr>
                <w:rFonts w:ascii="宋体" w:hAnsi="宋体" w:eastAsia="宋体" w:cs="宋体"/>
                <w:color w:val="000000"/>
                <w:sz w:val="21"/>
                <w:szCs w:val="21"/>
              </w:rPr>
              <w:t>139</w:t>
            </w:r>
            <w:r>
              <w:rPr>
                <w:rFonts w:hint="eastAsia" w:ascii="宋体" w:hAnsi="宋体" w:eastAsia="宋体" w:cs="宋体"/>
                <w:color w:val="000000"/>
                <w:sz w:val="21"/>
                <w:szCs w:val="21"/>
              </w:rPr>
              <w:t>，</w:t>
            </w:r>
            <w:r>
              <w:rPr>
                <w:rFonts w:ascii="宋体" w:hAnsi="宋体" w:eastAsia="宋体" w:cs="宋体"/>
                <w:color w:val="000000"/>
                <w:sz w:val="21"/>
                <w:szCs w:val="21"/>
              </w:rPr>
              <w:t>793.42</w:t>
            </w:r>
          </w:p>
        </w:tc>
        <w:tc>
          <w:tcPr>
            <w:tcW w:w="875" w:type="dxa"/>
            <w:tcMar>
              <w:top w:w="15" w:type="dxa"/>
              <w:left w:w="15" w:type="dxa"/>
              <w:bottom w:w="0" w:type="dxa"/>
              <w:right w:w="15" w:type="dxa"/>
            </w:tcMar>
            <w:vAlign w:val="center"/>
          </w:tcPr>
          <w:p>
            <w:pPr>
              <w:spacing w:line="250" w:lineRule="exact"/>
              <w:jc w:val="center"/>
              <w:rPr>
                <w:rFonts w:ascii="宋体" w:hAnsi="宋体" w:eastAsia="宋体" w:cs="宋体"/>
                <w:color w:val="000000"/>
                <w:sz w:val="21"/>
                <w:szCs w:val="21"/>
              </w:rPr>
            </w:pPr>
            <w:r>
              <w:rPr>
                <w:rFonts w:ascii="宋体" w:hAnsi="宋体" w:eastAsia="宋体" w:cs="宋体"/>
                <w:color w:val="000000"/>
                <w:sz w:val="21"/>
                <w:szCs w:val="21"/>
              </w:rPr>
              <w:t>85.75%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39" w:hRule="atLeast"/>
          <w:jc w:val="center"/>
        </w:trPr>
        <w:tc>
          <w:tcPr>
            <w:tcW w:w="1689" w:type="dxa"/>
            <w:gridSpan w:val="5"/>
            <w:vMerge w:val="continue"/>
            <w:vAlign w:val="center"/>
          </w:tcPr>
          <w:p>
            <w:pPr>
              <w:spacing w:line="250" w:lineRule="exact"/>
              <w:rPr>
                <w:rFonts w:ascii="宋体" w:hAnsi="宋体" w:eastAsia="宋体" w:cs="宋体"/>
                <w:color w:val="000000"/>
                <w:sz w:val="21"/>
                <w:szCs w:val="21"/>
              </w:rPr>
            </w:pPr>
          </w:p>
        </w:tc>
        <w:tc>
          <w:tcPr>
            <w:tcW w:w="479" w:type="dxa"/>
            <w:gridSpan w:val="2"/>
            <w:vMerge w:val="continue"/>
            <w:tcMar>
              <w:top w:w="15" w:type="dxa"/>
              <w:left w:w="15" w:type="dxa"/>
              <w:bottom w:w="0" w:type="dxa"/>
              <w:right w:w="15" w:type="dxa"/>
            </w:tcMar>
            <w:vAlign w:val="center"/>
          </w:tcPr>
          <w:p>
            <w:pPr>
              <w:spacing w:line="250" w:lineRule="exact"/>
              <w:jc w:val="center"/>
              <w:rPr>
                <w:rFonts w:ascii="宋体" w:hAnsi="宋体" w:eastAsia="宋体" w:cs="宋体"/>
                <w:color w:val="000000"/>
                <w:sz w:val="21"/>
                <w:szCs w:val="21"/>
              </w:rPr>
            </w:pPr>
          </w:p>
        </w:tc>
        <w:tc>
          <w:tcPr>
            <w:tcW w:w="1681" w:type="dxa"/>
            <w:gridSpan w:val="3"/>
            <w:tcMar>
              <w:top w:w="15" w:type="dxa"/>
              <w:left w:w="15" w:type="dxa"/>
              <w:bottom w:w="0" w:type="dxa"/>
              <w:right w:w="15" w:type="dxa"/>
            </w:tcMar>
            <w:vAlign w:val="center"/>
          </w:tcPr>
          <w:p>
            <w:pPr>
              <w:spacing w:line="250" w:lineRule="exact"/>
              <w:jc w:val="center"/>
              <w:rPr>
                <w:rFonts w:ascii="宋体" w:hAnsi="宋体" w:eastAsia="宋体" w:cs="宋体"/>
                <w:color w:val="000000"/>
                <w:sz w:val="21"/>
                <w:szCs w:val="21"/>
              </w:rPr>
            </w:pPr>
            <w:r>
              <w:rPr>
                <w:rFonts w:hint="eastAsia" w:ascii="宋体" w:hAnsi="宋体" w:eastAsia="宋体" w:cs="宋体"/>
                <w:color w:val="000000"/>
                <w:sz w:val="21"/>
                <w:szCs w:val="21"/>
              </w:rPr>
              <w:t>（</w:t>
            </w:r>
            <w:r>
              <w:rPr>
                <w:rFonts w:ascii="宋体" w:hAnsi="宋体" w:eastAsia="宋体" w:cs="宋体"/>
                <w:color w:val="000000"/>
                <w:sz w:val="21"/>
                <w:szCs w:val="21"/>
              </w:rPr>
              <w:t>2</w:t>
            </w:r>
            <w:r>
              <w:rPr>
                <w:rFonts w:hint="eastAsia" w:ascii="宋体" w:hAnsi="宋体" w:eastAsia="宋体" w:cs="宋体"/>
                <w:color w:val="000000"/>
                <w:sz w:val="21"/>
                <w:szCs w:val="21"/>
              </w:rPr>
              <w:t>）其他资金</w:t>
            </w:r>
          </w:p>
        </w:tc>
        <w:tc>
          <w:tcPr>
            <w:tcW w:w="2309" w:type="dxa"/>
            <w:gridSpan w:val="4"/>
            <w:tcMar>
              <w:top w:w="15" w:type="dxa"/>
              <w:left w:w="15" w:type="dxa"/>
              <w:bottom w:w="0" w:type="dxa"/>
              <w:right w:w="15" w:type="dxa"/>
            </w:tcMar>
            <w:vAlign w:val="center"/>
          </w:tcPr>
          <w:p>
            <w:pPr>
              <w:spacing w:line="250" w:lineRule="exact"/>
              <w:jc w:val="center"/>
              <w:rPr>
                <w:rFonts w:ascii="宋体" w:hAnsi="宋体" w:eastAsia="宋体" w:cs="宋体"/>
                <w:color w:val="000000"/>
                <w:sz w:val="21"/>
                <w:szCs w:val="21"/>
              </w:rPr>
            </w:pPr>
          </w:p>
        </w:tc>
        <w:tc>
          <w:tcPr>
            <w:tcW w:w="2310" w:type="dxa"/>
            <w:gridSpan w:val="2"/>
            <w:tcMar>
              <w:top w:w="15" w:type="dxa"/>
              <w:left w:w="15" w:type="dxa"/>
              <w:bottom w:w="0" w:type="dxa"/>
              <w:right w:w="15" w:type="dxa"/>
            </w:tcMar>
            <w:vAlign w:val="center"/>
          </w:tcPr>
          <w:p>
            <w:pPr>
              <w:spacing w:line="250" w:lineRule="exact"/>
              <w:jc w:val="center"/>
              <w:rPr>
                <w:rFonts w:ascii="宋体" w:hAnsi="宋体" w:eastAsia="宋体" w:cs="宋体"/>
                <w:color w:val="000000"/>
                <w:sz w:val="21"/>
                <w:szCs w:val="21"/>
              </w:rPr>
            </w:pPr>
          </w:p>
        </w:tc>
        <w:tc>
          <w:tcPr>
            <w:tcW w:w="875" w:type="dxa"/>
            <w:tcMar>
              <w:top w:w="15" w:type="dxa"/>
              <w:left w:w="15" w:type="dxa"/>
              <w:bottom w:w="0" w:type="dxa"/>
              <w:right w:w="15" w:type="dxa"/>
            </w:tcMar>
            <w:vAlign w:val="center"/>
          </w:tcPr>
          <w:p>
            <w:pPr>
              <w:spacing w:line="250" w:lineRule="exact"/>
              <w:jc w:val="center"/>
              <w:rPr>
                <w:rFonts w:ascii="宋体" w:hAnsi="宋体" w:eastAsia="宋体" w:cs="宋体"/>
                <w:color w:val="00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39" w:hRule="atLeast"/>
          <w:jc w:val="center"/>
        </w:trPr>
        <w:tc>
          <w:tcPr>
            <w:tcW w:w="1689" w:type="dxa"/>
            <w:gridSpan w:val="5"/>
            <w:vMerge w:val="continue"/>
            <w:vAlign w:val="center"/>
          </w:tcPr>
          <w:p>
            <w:pPr>
              <w:spacing w:line="250" w:lineRule="exact"/>
              <w:rPr>
                <w:rFonts w:ascii="宋体" w:hAnsi="宋体" w:eastAsia="宋体" w:cs="宋体"/>
                <w:color w:val="000000"/>
                <w:sz w:val="21"/>
                <w:szCs w:val="21"/>
              </w:rPr>
            </w:pPr>
          </w:p>
        </w:tc>
        <w:tc>
          <w:tcPr>
            <w:tcW w:w="479" w:type="dxa"/>
            <w:gridSpan w:val="2"/>
            <w:vMerge w:val="restart"/>
            <w:tcMar>
              <w:top w:w="15" w:type="dxa"/>
              <w:left w:w="15" w:type="dxa"/>
              <w:bottom w:w="0" w:type="dxa"/>
              <w:right w:w="15" w:type="dxa"/>
            </w:tcMar>
            <w:vAlign w:val="center"/>
          </w:tcPr>
          <w:p>
            <w:pPr>
              <w:spacing w:line="250" w:lineRule="exact"/>
              <w:jc w:val="center"/>
              <w:rPr>
                <w:rFonts w:ascii="宋体" w:hAnsi="宋体" w:eastAsia="宋体" w:cs="宋体"/>
                <w:color w:val="000000"/>
                <w:sz w:val="21"/>
                <w:szCs w:val="21"/>
              </w:rPr>
            </w:pPr>
            <w:r>
              <w:rPr>
                <w:rFonts w:hint="eastAsia" w:ascii="宋体" w:hAnsi="宋体" w:eastAsia="宋体" w:cs="宋体"/>
                <w:color w:val="000000"/>
                <w:sz w:val="21"/>
                <w:szCs w:val="21"/>
              </w:rPr>
              <w:t>资</w:t>
            </w:r>
          </w:p>
          <w:p>
            <w:pPr>
              <w:spacing w:line="250" w:lineRule="exact"/>
              <w:jc w:val="center"/>
              <w:rPr>
                <w:rFonts w:ascii="宋体" w:hAnsi="宋体" w:eastAsia="宋体" w:cs="宋体"/>
                <w:color w:val="000000"/>
                <w:sz w:val="21"/>
                <w:szCs w:val="21"/>
              </w:rPr>
            </w:pPr>
            <w:r>
              <w:rPr>
                <w:rFonts w:hint="eastAsia" w:ascii="宋体" w:hAnsi="宋体" w:eastAsia="宋体" w:cs="宋体"/>
                <w:color w:val="000000"/>
                <w:sz w:val="21"/>
                <w:szCs w:val="21"/>
              </w:rPr>
              <w:t>金</w:t>
            </w:r>
          </w:p>
          <w:p>
            <w:pPr>
              <w:spacing w:line="250" w:lineRule="exact"/>
              <w:jc w:val="center"/>
              <w:rPr>
                <w:rFonts w:ascii="宋体" w:hAnsi="宋体" w:eastAsia="宋体" w:cs="宋体"/>
                <w:color w:val="000000"/>
                <w:sz w:val="21"/>
                <w:szCs w:val="21"/>
              </w:rPr>
            </w:pPr>
            <w:r>
              <w:rPr>
                <w:rFonts w:hint="eastAsia" w:ascii="宋体" w:hAnsi="宋体" w:eastAsia="宋体" w:cs="宋体"/>
                <w:color w:val="000000"/>
                <w:sz w:val="21"/>
                <w:szCs w:val="21"/>
              </w:rPr>
              <w:t>结</w:t>
            </w:r>
          </w:p>
          <w:p>
            <w:pPr>
              <w:spacing w:line="250" w:lineRule="exact"/>
              <w:jc w:val="center"/>
              <w:rPr>
                <w:rFonts w:ascii="宋体" w:hAnsi="宋体" w:eastAsia="宋体" w:cs="宋体"/>
                <w:color w:val="000000"/>
                <w:sz w:val="21"/>
                <w:szCs w:val="21"/>
              </w:rPr>
            </w:pPr>
            <w:r>
              <w:rPr>
                <w:rFonts w:hint="eastAsia" w:ascii="宋体" w:hAnsi="宋体" w:eastAsia="宋体" w:cs="宋体"/>
                <w:color w:val="000000"/>
                <w:sz w:val="21"/>
                <w:szCs w:val="21"/>
              </w:rPr>
              <w:t>构</w:t>
            </w:r>
          </w:p>
          <w:p>
            <w:pPr>
              <w:spacing w:line="250" w:lineRule="exact"/>
              <w:jc w:val="center"/>
              <w:rPr>
                <w:rFonts w:ascii="宋体" w:hAnsi="宋体" w:eastAsia="宋体" w:cs="宋体"/>
                <w:color w:val="000000"/>
                <w:sz w:val="21"/>
                <w:szCs w:val="21"/>
              </w:rPr>
            </w:pPr>
          </w:p>
        </w:tc>
        <w:tc>
          <w:tcPr>
            <w:tcW w:w="1681" w:type="dxa"/>
            <w:gridSpan w:val="3"/>
            <w:tcMar>
              <w:top w:w="15" w:type="dxa"/>
              <w:left w:w="15" w:type="dxa"/>
              <w:bottom w:w="0" w:type="dxa"/>
              <w:right w:w="15" w:type="dxa"/>
            </w:tcMar>
            <w:vAlign w:val="center"/>
          </w:tcPr>
          <w:p>
            <w:pPr>
              <w:spacing w:line="250" w:lineRule="exact"/>
              <w:jc w:val="center"/>
              <w:rPr>
                <w:rFonts w:ascii="宋体" w:hAnsi="宋体" w:eastAsia="宋体" w:cs="宋体"/>
                <w:color w:val="000000"/>
                <w:sz w:val="21"/>
                <w:szCs w:val="21"/>
              </w:rPr>
            </w:pPr>
            <w:r>
              <w:rPr>
                <w:rFonts w:hint="eastAsia" w:ascii="宋体" w:hAnsi="宋体" w:eastAsia="宋体" w:cs="宋体"/>
                <w:color w:val="000000"/>
                <w:sz w:val="21"/>
                <w:szCs w:val="21"/>
              </w:rPr>
              <w:t>合计</w:t>
            </w:r>
          </w:p>
        </w:tc>
        <w:tc>
          <w:tcPr>
            <w:tcW w:w="2309" w:type="dxa"/>
            <w:gridSpan w:val="4"/>
            <w:tcMar>
              <w:top w:w="15" w:type="dxa"/>
              <w:left w:w="15" w:type="dxa"/>
              <w:bottom w:w="0" w:type="dxa"/>
              <w:right w:w="15" w:type="dxa"/>
            </w:tcMar>
            <w:vAlign w:val="center"/>
          </w:tcPr>
          <w:p>
            <w:pPr>
              <w:spacing w:line="250" w:lineRule="exact"/>
              <w:jc w:val="center"/>
              <w:rPr>
                <w:rFonts w:ascii="宋体" w:hAnsi="宋体" w:eastAsia="宋体" w:cs="宋体"/>
                <w:color w:val="000000"/>
                <w:sz w:val="21"/>
                <w:szCs w:val="21"/>
              </w:rPr>
            </w:pPr>
            <w:r>
              <w:rPr>
                <w:rFonts w:ascii="宋体" w:hAnsi="宋体" w:eastAsia="宋体" w:cs="宋体"/>
                <w:color w:val="000000"/>
                <w:sz w:val="21"/>
                <w:szCs w:val="21"/>
              </w:rPr>
              <w:t>26</w:t>
            </w:r>
            <w:r>
              <w:rPr>
                <w:rFonts w:hint="eastAsia" w:ascii="宋体" w:hAnsi="宋体" w:eastAsia="宋体" w:cs="宋体"/>
                <w:color w:val="000000"/>
                <w:sz w:val="21"/>
                <w:szCs w:val="21"/>
              </w:rPr>
              <w:t>，</w:t>
            </w:r>
            <w:r>
              <w:rPr>
                <w:rFonts w:ascii="宋体" w:hAnsi="宋体" w:eastAsia="宋体" w:cs="宋体"/>
                <w:color w:val="000000"/>
                <w:sz w:val="21"/>
                <w:szCs w:val="21"/>
              </w:rPr>
              <w:t>983</w:t>
            </w:r>
            <w:r>
              <w:rPr>
                <w:rFonts w:hint="eastAsia" w:ascii="宋体" w:hAnsi="宋体" w:eastAsia="宋体" w:cs="宋体"/>
                <w:color w:val="000000"/>
                <w:sz w:val="21"/>
                <w:szCs w:val="21"/>
              </w:rPr>
              <w:t>，</w:t>
            </w:r>
            <w:r>
              <w:rPr>
                <w:rFonts w:ascii="宋体" w:hAnsi="宋体" w:eastAsia="宋体" w:cs="宋体"/>
                <w:color w:val="000000"/>
                <w:sz w:val="21"/>
                <w:szCs w:val="21"/>
              </w:rPr>
              <w:t>991</w:t>
            </w:r>
            <w:r>
              <w:rPr>
                <w:rFonts w:hint="eastAsia" w:ascii="宋体" w:hAnsi="宋体" w:eastAsia="宋体" w:cs="宋体"/>
                <w:color w:val="000000"/>
                <w:sz w:val="21"/>
                <w:szCs w:val="21"/>
              </w:rPr>
              <w:t>　</w:t>
            </w:r>
          </w:p>
        </w:tc>
        <w:tc>
          <w:tcPr>
            <w:tcW w:w="2310" w:type="dxa"/>
            <w:gridSpan w:val="2"/>
            <w:tcMar>
              <w:top w:w="15" w:type="dxa"/>
              <w:left w:w="15" w:type="dxa"/>
              <w:bottom w:w="0" w:type="dxa"/>
              <w:right w:w="15" w:type="dxa"/>
            </w:tcMar>
            <w:vAlign w:val="center"/>
          </w:tcPr>
          <w:p>
            <w:pPr>
              <w:spacing w:line="250" w:lineRule="exact"/>
              <w:jc w:val="center"/>
              <w:rPr>
                <w:rFonts w:ascii="宋体" w:hAnsi="宋体" w:eastAsia="宋体" w:cs="宋体"/>
                <w:color w:val="000000"/>
                <w:sz w:val="21"/>
                <w:szCs w:val="21"/>
              </w:rPr>
            </w:pPr>
            <w:r>
              <w:rPr>
                <w:rFonts w:ascii="宋体" w:hAnsi="宋体" w:eastAsia="宋体" w:cs="宋体"/>
                <w:color w:val="000000"/>
                <w:sz w:val="21"/>
                <w:szCs w:val="21"/>
              </w:rPr>
              <w:t>23</w:t>
            </w:r>
            <w:r>
              <w:rPr>
                <w:rFonts w:hint="eastAsia" w:ascii="宋体" w:hAnsi="宋体" w:eastAsia="宋体" w:cs="宋体"/>
                <w:color w:val="000000"/>
                <w:sz w:val="21"/>
                <w:szCs w:val="21"/>
              </w:rPr>
              <w:t>，</w:t>
            </w:r>
            <w:r>
              <w:rPr>
                <w:rFonts w:ascii="宋体" w:hAnsi="宋体" w:eastAsia="宋体" w:cs="宋体"/>
                <w:color w:val="000000"/>
                <w:sz w:val="21"/>
                <w:szCs w:val="21"/>
              </w:rPr>
              <w:t>139</w:t>
            </w:r>
            <w:r>
              <w:rPr>
                <w:rFonts w:hint="eastAsia" w:ascii="宋体" w:hAnsi="宋体" w:eastAsia="宋体" w:cs="宋体"/>
                <w:color w:val="000000"/>
                <w:sz w:val="21"/>
                <w:szCs w:val="21"/>
              </w:rPr>
              <w:t>，</w:t>
            </w:r>
            <w:r>
              <w:rPr>
                <w:rFonts w:ascii="宋体" w:hAnsi="宋体" w:eastAsia="宋体" w:cs="宋体"/>
                <w:color w:val="000000"/>
                <w:sz w:val="21"/>
                <w:szCs w:val="21"/>
              </w:rPr>
              <w:t>793.42</w:t>
            </w:r>
            <w:r>
              <w:rPr>
                <w:rFonts w:hint="eastAsia" w:ascii="宋体" w:hAnsi="宋体" w:eastAsia="宋体" w:cs="宋体"/>
                <w:color w:val="000000"/>
                <w:sz w:val="21"/>
                <w:szCs w:val="21"/>
              </w:rPr>
              <w:t>　</w:t>
            </w:r>
          </w:p>
        </w:tc>
        <w:tc>
          <w:tcPr>
            <w:tcW w:w="875" w:type="dxa"/>
            <w:tcMar>
              <w:top w:w="15" w:type="dxa"/>
              <w:left w:w="15" w:type="dxa"/>
              <w:bottom w:w="0" w:type="dxa"/>
              <w:right w:w="15" w:type="dxa"/>
            </w:tcMar>
            <w:vAlign w:val="center"/>
          </w:tcPr>
          <w:p>
            <w:pPr>
              <w:spacing w:line="250" w:lineRule="exact"/>
              <w:jc w:val="center"/>
              <w:rPr>
                <w:rFonts w:ascii="宋体" w:hAnsi="宋体" w:eastAsia="宋体" w:cs="宋体"/>
                <w:color w:val="000000"/>
                <w:sz w:val="21"/>
                <w:szCs w:val="21"/>
              </w:rPr>
            </w:pPr>
            <w:r>
              <w:rPr>
                <w:rFonts w:ascii="宋体" w:hAnsi="宋体" w:eastAsia="宋体" w:cs="宋体"/>
                <w:color w:val="000000"/>
                <w:sz w:val="21"/>
                <w:szCs w:val="21"/>
              </w:rPr>
              <w:t>85.75%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39" w:hRule="atLeast"/>
          <w:jc w:val="center"/>
        </w:trPr>
        <w:tc>
          <w:tcPr>
            <w:tcW w:w="1689" w:type="dxa"/>
            <w:gridSpan w:val="5"/>
            <w:vMerge w:val="continue"/>
            <w:vAlign w:val="center"/>
          </w:tcPr>
          <w:p>
            <w:pPr>
              <w:spacing w:line="250" w:lineRule="exact"/>
              <w:rPr>
                <w:rFonts w:ascii="宋体" w:hAnsi="宋体" w:eastAsia="宋体" w:cs="宋体"/>
                <w:color w:val="000000"/>
                <w:sz w:val="21"/>
                <w:szCs w:val="21"/>
              </w:rPr>
            </w:pPr>
          </w:p>
        </w:tc>
        <w:tc>
          <w:tcPr>
            <w:tcW w:w="479" w:type="dxa"/>
            <w:gridSpan w:val="2"/>
            <w:vMerge w:val="continue"/>
            <w:tcMar>
              <w:top w:w="15" w:type="dxa"/>
              <w:left w:w="15" w:type="dxa"/>
              <w:bottom w:w="0" w:type="dxa"/>
              <w:right w:w="15" w:type="dxa"/>
            </w:tcMar>
            <w:vAlign w:val="center"/>
          </w:tcPr>
          <w:p>
            <w:pPr>
              <w:spacing w:line="250" w:lineRule="exact"/>
              <w:jc w:val="right"/>
              <w:rPr>
                <w:rFonts w:ascii="宋体" w:hAnsi="宋体" w:eastAsia="宋体" w:cs="宋体"/>
                <w:color w:val="000000"/>
                <w:sz w:val="21"/>
                <w:szCs w:val="21"/>
              </w:rPr>
            </w:pPr>
          </w:p>
        </w:tc>
        <w:tc>
          <w:tcPr>
            <w:tcW w:w="1681" w:type="dxa"/>
            <w:gridSpan w:val="3"/>
            <w:tcMar>
              <w:top w:w="15" w:type="dxa"/>
              <w:left w:w="15" w:type="dxa"/>
              <w:bottom w:w="0" w:type="dxa"/>
              <w:right w:w="15" w:type="dxa"/>
            </w:tcMar>
            <w:vAlign w:val="center"/>
          </w:tcPr>
          <w:p>
            <w:pPr>
              <w:spacing w:line="250" w:lineRule="exact"/>
              <w:jc w:val="center"/>
              <w:rPr>
                <w:rFonts w:ascii="宋体" w:hAnsi="宋体" w:eastAsia="宋体" w:cs="宋体"/>
                <w:color w:val="000000"/>
                <w:sz w:val="21"/>
                <w:szCs w:val="21"/>
              </w:rPr>
            </w:pPr>
            <w:r>
              <w:rPr>
                <w:rFonts w:hint="eastAsia" w:ascii="宋体" w:hAnsi="宋体" w:eastAsia="宋体" w:cs="宋体"/>
                <w:color w:val="000000"/>
                <w:sz w:val="21"/>
                <w:szCs w:val="21"/>
              </w:rPr>
              <w:t>（</w:t>
            </w:r>
            <w:r>
              <w:rPr>
                <w:rFonts w:ascii="宋体" w:hAnsi="宋体" w:eastAsia="宋体" w:cs="宋体"/>
                <w:color w:val="000000"/>
                <w:sz w:val="21"/>
                <w:szCs w:val="21"/>
              </w:rPr>
              <w:t>1</w:t>
            </w:r>
            <w:r>
              <w:rPr>
                <w:rFonts w:hint="eastAsia" w:ascii="宋体" w:hAnsi="宋体" w:eastAsia="宋体" w:cs="宋体"/>
                <w:color w:val="000000"/>
                <w:sz w:val="21"/>
                <w:szCs w:val="21"/>
              </w:rPr>
              <w:t>）基本支出</w:t>
            </w:r>
          </w:p>
        </w:tc>
        <w:tc>
          <w:tcPr>
            <w:tcW w:w="2309" w:type="dxa"/>
            <w:gridSpan w:val="4"/>
            <w:tcMar>
              <w:top w:w="15" w:type="dxa"/>
              <w:left w:w="15" w:type="dxa"/>
              <w:bottom w:w="0" w:type="dxa"/>
              <w:right w:w="15" w:type="dxa"/>
            </w:tcMar>
            <w:vAlign w:val="center"/>
          </w:tcPr>
          <w:p>
            <w:pPr>
              <w:spacing w:line="250" w:lineRule="exact"/>
              <w:jc w:val="center"/>
              <w:rPr>
                <w:rFonts w:ascii="宋体" w:hAnsi="宋体" w:eastAsia="宋体" w:cs="宋体"/>
                <w:color w:val="000000"/>
                <w:sz w:val="21"/>
                <w:szCs w:val="21"/>
              </w:rPr>
            </w:pPr>
            <w:r>
              <w:rPr>
                <w:rFonts w:ascii="宋体" w:hAnsi="宋体" w:eastAsia="宋体" w:cs="宋体"/>
                <w:color w:val="000000"/>
                <w:sz w:val="21"/>
                <w:szCs w:val="21"/>
              </w:rPr>
              <w:t>18</w:t>
            </w:r>
            <w:r>
              <w:rPr>
                <w:rFonts w:hint="eastAsia" w:ascii="宋体" w:hAnsi="宋体" w:eastAsia="宋体" w:cs="宋体"/>
                <w:color w:val="000000"/>
                <w:sz w:val="21"/>
                <w:szCs w:val="21"/>
              </w:rPr>
              <w:t>，</w:t>
            </w:r>
            <w:r>
              <w:rPr>
                <w:rFonts w:ascii="宋体" w:hAnsi="宋体" w:eastAsia="宋体" w:cs="宋体"/>
                <w:color w:val="000000"/>
                <w:sz w:val="21"/>
                <w:szCs w:val="21"/>
              </w:rPr>
              <w:t>043</w:t>
            </w:r>
            <w:r>
              <w:rPr>
                <w:rFonts w:hint="eastAsia" w:ascii="宋体" w:hAnsi="宋体" w:eastAsia="宋体" w:cs="宋体"/>
                <w:color w:val="000000"/>
                <w:sz w:val="21"/>
                <w:szCs w:val="21"/>
              </w:rPr>
              <w:t>，</w:t>
            </w:r>
            <w:r>
              <w:rPr>
                <w:rFonts w:ascii="宋体" w:hAnsi="宋体" w:eastAsia="宋体" w:cs="宋体"/>
                <w:color w:val="000000"/>
                <w:sz w:val="21"/>
                <w:szCs w:val="21"/>
              </w:rPr>
              <w:t>991</w:t>
            </w:r>
            <w:r>
              <w:rPr>
                <w:rFonts w:hint="eastAsia" w:ascii="宋体" w:hAnsi="宋体" w:eastAsia="宋体" w:cs="宋体"/>
                <w:color w:val="000000"/>
                <w:sz w:val="21"/>
                <w:szCs w:val="21"/>
              </w:rPr>
              <w:t>　</w:t>
            </w:r>
          </w:p>
        </w:tc>
        <w:tc>
          <w:tcPr>
            <w:tcW w:w="2310" w:type="dxa"/>
            <w:gridSpan w:val="2"/>
            <w:tcMar>
              <w:top w:w="15" w:type="dxa"/>
              <w:left w:w="15" w:type="dxa"/>
              <w:bottom w:w="0" w:type="dxa"/>
              <w:right w:w="15" w:type="dxa"/>
            </w:tcMar>
            <w:vAlign w:val="center"/>
          </w:tcPr>
          <w:p>
            <w:pPr>
              <w:spacing w:line="250" w:lineRule="exact"/>
              <w:jc w:val="center"/>
              <w:rPr>
                <w:rFonts w:ascii="宋体" w:hAnsi="宋体" w:eastAsia="宋体" w:cs="宋体"/>
                <w:color w:val="000000"/>
                <w:sz w:val="21"/>
                <w:szCs w:val="21"/>
              </w:rPr>
            </w:pPr>
            <w:r>
              <w:rPr>
                <w:rFonts w:ascii="宋体" w:hAnsi="宋体" w:eastAsia="宋体" w:cs="宋体"/>
                <w:color w:val="000000"/>
                <w:sz w:val="21"/>
                <w:szCs w:val="21"/>
              </w:rPr>
              <w:t>20</w:t>
            </w:r>
            <w:r>
              <w:rPr>
                <w:rFonts w:hint="eastAsia" w:ascii="宋体" w:hAnsi="宋体" w:eastAsia="宋体" w:cs="宋体"/>
                <w:color w:val="000000"/>
                <w:sz w:val="21"/>
                <w:szCs w:val="21"/>
              </w:rPr>
              <w:t>，</w:t>
            </w:r>
            <w:r>
              <w:rPr>
                <w:rFonts w:ascii="宋体" w:hAnsi="宋体" w:eastAsia="宋体" w:cs="宋体"/>
                <w:color w:val="000000"/>
                <w:sz w:val="21"/>
                <w:szCs w:val="21"/>
              </w:rPr>
              <w:t>034</w:t>
            </w:r>
            <w:r>
              <w:rPr>
                <w:rFonts w:hint="eastAsia" w:ascii="宋体" w:hAnsi="宋体" w:eastAsia="宋体" w:cs="宋体"/>
                <w:color w:val="000000"/>
                <w:sz w:val="21"/>
                <w:szCs w:val="21"/>
              </w:rPr>
              <w:t>，</w:t>
            </w:r>
            <w:r>
              <w:rPr>
                <w:rFonts w:ascii="宋体" w:hAnsi="宋体" w:eastAsia="宋体" w:cs="宋体"/>
                <w:color w:val="000000"/>
                <w:sz w:val="21"/>
                <w:szCs w:val="21"/>
              </w:rPr>
              <w:t>144.96</w:t>
            </w:r>
            <w:r>
              <w:rPr>
                <w:rFonts w:hint="eastAsia" w:ascii="宋体" w:hAnsi="宋体" w:eastAsia="宋体" w:cs="宋体"/>
                <w:color w:val="000000"/>
                <w:sz w:val="21"/>
                <w:szCs w:val="21"/>
              </w:rPr>
              <w:t>　</w:t>
            </w:r>
          </w:p>
        </w:tc>
        <w:tc>
          <w:tcPr>
            <w:tcW w:w="875" w:type="dxa"/>
            <w:tcMar>
              <w:top w:w="15" w:type="dxa"/>
              <w:left w:w="15" w:type="dxa"/>
              <w:bottom w:w="0" w:type="dxa"/>
              <w:right w:w="15" w:type="dxa"/>
            </w:tcMar>
            <w:vAlign w:val="center"/>
          </w:tcPr>
          <w:p>
            <w:pPr>
              <w:spacing w:line="250" w:lineRule="exact"/>
              <w:jc w:val="center"/>
              <w:rPr>
                <w:rFonts w:ascii="宋体" w:hAnsi="宋体" w:eastAsia="宋体" w:cs="宋体"/>
                <w:color w:val="000000"/>
                <w:sz w:val="21"/>
                <w:szCs w:val="21"/>
              </w:rPr>
            </w:pPr>
            <w:r>
              <w:rPr>
                <w:rFonts w:ascii="宋体" w:hAnsi="宋体" w:eastAsia="宋体" w:cs="宋体"/>
                <w:color w:val="000000"/>
                <w:sz w:val="21"/>
                <w:szCs w:val="21"/>
              </w:rPr>
              <w:t>111.03%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39" w:hRule="atLeast"/>
          <w:jc w:val="center"/>
        </w:trPr>
        <w:tc>
          <w:tcPr>
            <w:tcW w:w="1689" w:type="dxa"/>
            <w:gridSpan w:val="5"/>
            <w:vMerge w:val="continue"/>
            <w:vAlign w:val="center"/>
          </w:tcPr>
          <w:p>
            <w:pPr>
              <w:spacing w:line="250" w:lineRule="exact"/>
              <w:rPr>
                <w:rFonts w:ascii="宋体" w:hAnsi="宋体" w:eastAsia="宋体" w:cs="宋体"/>
                <w:color w:val="000000"/>
                <w:sz w:val="21"/>
                <w:szCs w:val="21"/>
              </w:rPr>
            </w:pPr>
          </w:p>
        </w:tc>
        <w:tc>
          <w:tcPr>
            <w:tcW w:w="479" w:type="dxa"/>
            <w:gridSpan w:val="2"/>
            <w:vMerge w:val="continue"/>
            <w:tcMar>
              <w:top w:w="15" w:type="dxa"/>
              <w:left w:w="15" w:type="dxa"/>
              <w:bottom w:w="0" w:type="dxa"/>
              <w:right w:w="15" w:type="dxa"/>
            </w:tcMar>
            <w:vAlign w:val="center"/>
          </w:tcPr>
          <w:p>
            <w:pPr>
              <w:spacing w:line="250" w:lineRule="exact"/>
              <w:jc w:val="right"/>
              <w:rPr>
                <w:rFonts w:ascii="宋体" w:hAnsi="宋体" w:eastAsia="宋体" w:cs="宋体"/>
                <w:color w:val="000000"/>
                <w:sz w:val="21"/>
                <w:szCs w:val="21"/>
              </w:rPr>
            </w:pPr>
          </w:p>
        </w:tc>
        <w:tc>
          <w:tcPr>
            <w:tcW w:w="1681" w:type="dxa"/>
            <w:gridSpan w:val="3"/>
            <w:tcMar>
              <w:top w:w="15" w:type="dxa"/>
              <w:left w:w="15" w:type="dxa"/>
              <w:bottom w:w="0" w:type="dxa"/>
              <w:right w:w="15" w:type="dxa"/>
            </w:tcMar>
            <w:vAlign w:val="center"/>
          </w:tcPr>
          <w:p>
            <w:pPr>
              <w:tabs>
                <w:tab w:val="left" w:pos="567"/>
              </w:tabs>
              <w:spacing w:line="250" w:lineRule="exact"/>
              <w:jc w:val="center"/>
              <w:rPr>
                <w:rFonts w:ascii="宋体" w:hAnsi="宋体" w:eastAsia="宋体" w:cs="宋体"/>
                <w:color w:val="000000"/>
                <w:sz w:val="21"/>
                <w:szCs w:val="21"/>
              </w:rPr>
            </w:pPr>
            <w:r>
              <w:rPr>
                <w:rFonts w:hint="eastAsia" w:ascii="宋体" w:hAnsi="宋体" w:eastAsia="宋体" w:cs="宋体"/>
                <w:color w:val="000000"/>
                <w:sz w:val="21"/>
                <w:szCs w:val="21"/>
              </w:rPr>
              <w:t>（</w:t>
            </w:r>
            <w:r>
              <w:rPr>
                <w:rFonts w:ascii="宋体" w:hAnsi="宋体" w:eastAsia="宋体" w:cs="宋体"/>
                <w:color w:val="000000"/>
                <w:sz w:val="21"/>
                <w:szCs w:val="21"/>
              </w:rPr>
              <w:t>2</w:t>
            </w:r>
            <w:r>
              <w:rPr>
                <w:rFonts w:hint="eastAsia" w:ascii="宋体" w:hAnsi="宋体" w:eastAsia="宋体" w:cs="宋体"/>
                <w:color w:val="000000"/>
                <w:sz w:val="21"/>
                <w:szCs w:val="21"/>
              </w:rPr>
              <w:t>）项目支出</w:t>
            </w:r>
          </w:p>
        </w:tc>
        <w:tc>
          <w:tcPr>
            <w:tcW w:w="2309" w:type="dxa"/>
            <w:gridSpan w:val="4"/>
            <w:tcMar>
              <w:top w:w="15" w:type="dxa"/>
              <w:left w:w="15" w:type="dxa"/>
              <w:bottom w:w="0" w:type="dxa"/>
              <w:right w:w="15" w:type="dxa"/>
            </w:tcMar>
            <w:vAlign w:val="center"/>
          </w:tcPr>
          <w:p>
            <w:pPr>
              <w:spacing w:line="250" w:lineRule="exact"/>
              <w:jc w:val="center"/>
              <w:rPr>
                <w:rFonts w:ascii="宋体" w:hAnsi="宋体" w:eastAsia="宋体" w:cs="宋体"/>
                <w:color w:val="000000"/>
                <w:sz w:val="21"/>
                <w:szCs w:val="21"/>
              </w:rPr>
            </w:pPr>
            <w:r>
              <w:rPr>
                <w:rFonts w:ascii="宋体" w:hAnsi="宋体" w:eastAsia="宋体" w:cs="宋体"/>
                <w:color w:val="000000"/>
                <w:sz w:val="21"/>
                <w:szCs w:val="21"/>
              </w:rPr>
              <w:t>9</w:t>
            </w:r>
            <w:r>
              <w:rPr>
                <w:rFonts w:hint="eastAsia" w:ascii="宋体" w:hAnsi="宋体" w:eastAsia="宋体" w:cs="宋体"/>
                <w:color w:val="000000"/>
                <w:sz w:val="21"/>
                <w:szCs w:val="21"/>
              </w:rPr>
              <w:t>，</w:t>
            </w:r>
            <w:r>
              <w:rPr>
                <w:rFonts w:ascii="宋体" w:hAnsi="宋体" w:eastAsia="宋体" w:cs="宋体"/>
                <w:color w:val="000000"/>
                <w:sz w:val="21"/>
                <w:szCs w:val="21"/>
              </w:rPr>
              <w:t>940</w:t>
            </w:r>
            <w:r>
              <w:rPr>
                <w:rFonts w:hint="eastAsia" w:ascii="宋体" w:hAnsi="宋体" w:eastAsia="宋体" w:cs="宋体"/>
                <w:color w:val="000000"/>
                <w:sz w:val="21"/>
                <w:szCs w:val="21"/>
              </w:rPr>
              <w:t>，</w:t>
            </w:r>
            <w:r>
              <w:rPr>
                <w:rFonts w:ascii="宋体" w:hAnsi="宋体" w:eastAsia="宋体" w:cs="宋体"/>
                <w:color w:val="000000"/>
                <w:sz w:val="21"/>
                <w:szCs w:val="21"/>
              </w:rPr>
              <w:t>000</w:t>
            </w:r>
            <w:r>
              <w:rPr>
                <w:rFonts w:hint="eastAsia" w:ascii="宋体" w:hAnsi="宋体" w:eastAsia="宋体" w:cs="宋体"/>
                <w:color w:val="000000"/>
                <w:sz w:val="21"/>
                <w:szCs w:val="21"/>
              </w:rPr>
              <w:t>　</w:t>
            </w:r>
          </w:p>
        </w:tc>
        <w:tc>
          <w:tcPr>
            <w:tcW w:w="2310" w:type="dxa"/>
            <w:gridSpan w:val="2"/>
            <w:tcMar>
              <w:top w:w="15" w:type="dxa"/>
              <w:left w:w="15" w:type="dxa"/>
              <w:bottom w:w="0" w:type="dxa"/>
              <w:right w:w="15" w:type="dxa"/>
            </w:tcMar>
            <w:vAlign w:val="center"/>
          </w:tcPr>
          <w:p>
            <w:pPr>
              <w:spacing w:line="250" w:lineRule="exact"/>
              <w:jc w:val="center"/>
              <w:rPr>
                <w:rFonts w:ascii="宋体" w:hAnsi="宋体" w:eastAsia="宋体" w:cs="宋体"/>
                <w:color w:val="000000"/>
                <w:sz w:val="21"/>
                <w:szCs w:val="21"/>
              </w:rPr>
            </w:pPr>
            <w:r>
              <w:rPr>
                <w:rFonts w:hint="eastAsia" w:ascii="宋体" w:hAnsi="宋体" w:eastAsia="宋体" w:cs="宋体"/>
                <w:color w:val="000000"/>
                <w:sz w:val="21"/>
                <w:szCs w:val="21"/>
              </w:rPr>
              <w:t>　</w:t>
            </w:r>
            <w:r>
              <w:rPr>
                <w:rFonts w:ascii="宋体" w:hAnsi="宋体" w:eastAsia="宋体" w:cs="宋体"/>
                <w:color w:val="000000"/>
                <w:sz w:val="21"/>
                <w:szCs w:val="21"/>
              </w:rPr>
              <w:t>3</w:t>
            </w:r>
            <w:r>
              <w:rPr>
                <w:rFonts w:hint="eastAsia" w:ascii="宋体" w:hAnsi="宋体" w:eastAsia="宋体" w:cs="宋体"/>
                <w:color w:val="000000"/>
                <w:sz w:val="21"/>
                <w:szCs w:val="21"/>
              </w:rPr>
              <w:t>，</w:t>
            </w:r>
            <w:r>
              <w:rPr>
                <w:rFonts w:ascii="宋体" w:hAnsi="宋体" w:eastAsia="宋体" w:cs="宋体"/>
                <w:color w:val="000000"/>
                <w:sz w:val="21"/>
                <w:szCs w:val="21"/>
              </w:rPr>
              <w:t>105</w:t>
            </w:r>
            <w:r>
              <w:rPr>
                <w:rFonts w:hint="eastAsia" w:ascii="宋体" w:hAnsi="宋体" w:eastAsia="宋体" w:cs="宋体"/>
                <w:color w:val="000000"/>
                <w:sz w:val="21"/>
                <w:szCs w:val="21"/>
              </w:rPr>
              <w:t>，</w:t>
            </w:r>
            <w:r>
              <w:rPr>
                <w:rFonts w:ascii="宋体" w:hAnsi="宋体" w:eastAsia="宋体" w:cs="宋体"/>
                <w:color w:val="000000"/>
                <w:sz w:val="21"/>
                <w:szCs w:val="21"/>
              </w:rPr>
              <w:t>648.46</w:t>
            </w:r>
          </w:p>
        </w:tc>
        <w:tc>
          <w:tcPr>
            <w:tcW w:w="875" w:type="dxa"/>
            <w:tcMar>
              <w:top w:w="15" w:type="dxa"/>
              <w:left w:w="15" w:type="dxa"/>
              <w:bottom w:w="0" w:type="dxa"/>
              <w:right w:w="15" w:type="dxa"/>
            </w:tcMar>
            <w:vAlign w:val="center"/>
          </w:tcPr>
          <w:p>
            <w:pPr>
              <w:spacing w:line="250" w:lineRule="exact"/>
              <w:jc w:val="center"/>
              <w:rPr>
                <w:rFonts w:ascii="宋体" w:hAnsi="宋体" w:eastAsia="宋体" w:cs="宋体"/>
                <w:color w:val="000000"/>
                <w:sz w:val="21"/>
                <w:szCs w:val="21"/>
              </w:rPr>
            </w:pPr>
            <w:r>
              <w:rPr>
                <w:rFonts w:ascii="宋体" w:hAnsi="宋体" w:eastAsia="宋体" w:cs="宋体"/>
                <w:color w:val="000000"/>
                <w:sz w:val="21"/>
                <w:szCs w:val="21"/>
              </w:rPr>
              <w:t>34.74%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28" w:hRule="atLeast"/>
          <w:jc w:val="center"/>
        </w:trPr>
        <w:tc>
          <w:tcPr>
            <w:tcW w:w="1097" w:type="dxa"/>
            <w:gridSpan w:val="3"/>
            <w:vMerge w:val="restart"/>
            <w:tcMar>
              <w:top w:w="15" w:type="dxa"/>
              <w:left w:w="15" w:type="dxa"/>
              <w:bottom w:w="0" w:type="dxa"/>
              <w:right w:w="15" w:type="dxa"/>
            </w:tcMar>
            <w:vAlign w:val="center"/>
          </w:tcPr>
          <w:p>
            <w:pPr>
              <w:spacing w:line="250" w:lineRule="exact"/>
              <w:jc w:val="center"/>
              <w:rPr>
                <w:rFonts w:ascii="宋体" w:hAnsi="宋体" w:eastAsia="宋体" w:cs="宋体"/>
                <w:color w:val="000000"/>
                <w:sz w:val="21"/>
                <w:szCs w:val="21"/>
              </w:rPr>
            </w:pPr>
            <w:r>
              <w:rPr>
                <w:rFonts w:hint="eastAsia" w:ascii="宋体" w:hAnsi="宋体" w:eastAsia="宋体" w:cs="宋体"/>
                <w:color w:val="000000"/>
                <w:sz w:val="21"/>
                <w:szCs w:val="21"/>
              </w:rPr>
              <w:t>年度总</w:t>
            </w:r>
          </w:p>
          <w:p>
            <w:pPr>
              <w:spacing w:line="250" w:lineRule="exact"/>
              <w:jc w:val="center"/>
              <w:rPr>
                <w:rFonts w:ascii="宋体" w:hAnsi="宋体" w:eastAsia="宋体" w:cs="宋体"/>
                <w:color w:val="000000"/>
                <w:sz w:val="21"/>
                <w:szCs w:val="21"/>
              </w:rPr>
            </w:pPr>
            <w:r>
              <w:rPr>
                <w:rFonts w:hint="eastAsia" w:ascii="宋体" w:hAnsi="宋体" w:eastAsia="宋体" w:cs="宋体"/>
                <w:color w:val="000000"/>
                <w:sz w:val="21"/>
                <w:szCs w:val="21"/>
              </w:rPr>
              <w:t>体目标</w:t>
            </w:r>
          </w:p>
        </w:tc>
        <w:tc>
          <w:tcPr>
            <w:tcW w:w="3983" w:type="dxa"/>
            <w:gridSpan w:val="8"/>
            <w:tcMar>
              <w:top w:w="15" w:type="dxa"/>
              <w:left w:w="15" w:type="dxa"/>
              <w:bottom w:w="0" w:type="dxa"/>
              <w:right w:w="15" w:type="dxa"/>
            </w:tcMar>
            <w:vAlign w:val="center"/>
          </w:tcPr>
          <w:p>
            <w:pPr>
              <w:spacing w:line="250" w:lineRule="exact"/>
              <w:jc w:val="center"/>
              <w:rPr>
                <w:rFonts w:ascii="宋体" w:hAnsi="宋体" w:eastAsia="宋体" w:cs="宋体"/>
                <w:color w:val="000000"/>
                <w:sz w:val="21"/>
                <w:szCs w:val="21"/>
              </w:rPr>
            </w:pPr>
            <w:r>
              <w:rPr>
                <w:rFonts w:hint="eastAsia" w:ascii="宋体" w:hAnsi="宋体" w:eastAsia="宋体" w:cs="宋体"/>
                <w:color w:val="000000"/>
                <w:sz w:val="21"/>
                <w:szCs w:val="21"/>
              </w:rPr>
              <w:t>年初设定目标</w:t>
            </w:r>
          </w:p>
        </w:tc>
        <w:tc>
          <w:tcPr>
            <w:tcW w:w="4263" w:type="dxa"/>
            <w:gridSpan w:val="6"/>
            <w:tcMar>
              <w:top w:w="15" w:type="dxa"/>
              <w:left w:w="15" w:type="dxa"/>
              <w:bottom w:w="0" w:type="dxa"/>
              <w:right w:w="15" w:type="dxa"/>
            </w:tcMar>
            <w:vAlign w:val="center"/>
          </w:tcPr>
          <w:p>
            <w:pPr>
              <w:spacing w:line="250" w:lineRule="exact"/>
              <w:jc w:val="center"/>
              <w:rPr>
                <w:rFonts w:ascii="宋体" w:hAnsi="宋体" w:eastAsia="宋体" w:cs="宋体"/>
                <w:color w:val="000000"/>
                <w:sz w:val="21"/>
                <w:szCs w:val="21"/>
              </w:rPr>
            </w:pPr>
            <w:r>
              <w:rPr>
                <w:rFonts w:hint="eastAsia" w:ascii="宋体" w:hAnsi="宋体" w:eastAsia="宋体" w:cs="宋体"/>
                <w:color w:val="000000"/>
                <w:sz w:val="21"/>
                <w:szCs w:val="21"/>
              </w:rPr>
              <w:t>全年完成情况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350" w:hRule="atLeast"/>
          <w:jc w:val="center"/>
        </w:trPr>
        <w:tc>
          <w:tcPr>
            <w:tcW w:w="1097" w:type="dxa"/>
            <w:gridSpan w:val="3"/>
            <w:vMerge w:val="continue"/>
            <w:vAlign w:val="center"/>
          </w:tcPr>
          <w:p>
            <w:pPr>
              <w:spacing w:line="250" w:lineRule="exact"/>
              <w:rPr>
                <w:rFonts w:ascii="宋体" w:hAnsi="宋体" w:eastAsia="宋体" w:cs="宋体"/>
                <w:color w:val="000000"/>
                <w:sz w:val="18"/>
                <w:szCs w:val="18"/>
              </w:rPr>
            </w:pPr>
          </w:p>
        </w:tc>
        <w:tc>
          <w:tcPr>
            <w:tcW w:w="3983" w:type="dxa"/>
            <w:gridSpan w:val="8"/>
            <w:tcMar>
              <w:top w:w="15" w:type="dxa"/>
              <w:left w:w="15" w:type="dxa"/>
              <w:bottom w:w="0" w:type="dxa"/>
              <w:right w:w="15" w:type="dxa"/>
            </w:tcMar>
            <w:vAlign w:val="center"/>
          </w:tcPr>
          <w:p>
            <w:pPr>
              <w:spacing w:line="250" w:lineRule="exact"/>
              <w:rPr>
                <w:rFonts w:ascii="宋体" w:hAnsi="宋体" w:eastAsia="宋体" w:cs="宋体"/>
                <w:color w:val="000000"/>
                <w:sz w:val="18"/>
                <w:szCs w:val="18"/>
              </w:rPr>
            </w:pPr>
            <w:r>
              <w:rPr>
                <w:rFonts w:hint="eastAsia" w:ascii="宋体" w:hAnsi="宋体" w:eastAsia="宋体" w:cs="宋体"/>
                <w:color w:val="000000"/>
                <w:sz w:val="18"/>
                <w:szCs w:val="18"/>
              </w:rPr>
              <w:t>紧紧围绕区委、区政府中心工作，充分发挥服务领导、服务基层、服务群众的办公室职能，确保区政府正常运转、高效推进工作。　</w:t>
            </w:r>
          </w:p>
        </w:tc>
        <w:tc>
          <w:tcPr>
            <w:tcW w:w="4263" w:type="dxa"/>
            <w:gridSpan w:val="6"/>
            <w:tcMar>
              <w:top w:w="15" w:type="dxa"/>
              <w:left w:w="15" w:type="dxa"/>
              <w:bottom w:w="0" w:type="dxa"/>
              <w:right w:w="15" w:type="dxa"/>
            </w:tcMar>
            <w:vAlign w:val="center"/>
          </w:tcPr>
          <w:p>
            <w:pPr>
              <w:spacing w:line="250" w:lineRule="exact"/>
              <w:rPr>
                <w:rFonts w:ascii="宋体" w:hAnsi="宋体" w:eastAsia="宋体" w:cs="宋体"/>
                <w:color w:val="000000"/>
                <w:sz w:val="18"/>
                <w:szCs w:val="18"/>
              </w:rPr>
            </w:pPr>
            <w:r>
              <w:rPr>
                <w:rFonts w:hint="eastAsia" w:ascii="宋体" w:hAnsi="宋体" w:eastAsia="宋体" w:cs="宋体"/>
                <w:color w:val="000000"/>
                <w:sz w:val="18"/>
                <w:szCs w:val="18"/>
              </w:rPr>
              <w:t>认真学习贯彻党的十九届四中全会精神，坚决落实“基层减负年”要求，团结带领全办干部职工，紧紧围绕区委、区政府中心工作，切实履行参谋助手、督促检查、综合协调等工作职责，全力整治“文山会海”，扎实开展我“</w:t>
            </w:r>
            <w:bookmarkStart w:id="0" w:name="_GoBack"/>
            <w:bookmarkEnd w:id="0"/>
            <w:r>
              <w:rPr>
                <w:rFonts w:hint="eastAsia" w:ascii="宋体" w:hAnsi="宋体" w:eastAsia="宋体" w:cs="宋体"/>
                <w:color w:val="000000"/>
                <w:sz w:val="18"/>
                <w:szCs w:val="18"/>
              </w:rPr>
              <w:t>不忘初心</w:t>
            </w:r>
            <w:r>
              <w:rPr>
                <w:rFonts w:hint="eastAsia" w:ascii="宋体" w:hAnsi="宋体" w:eastAsia="宋体" w:cs="宋体"/>
                <w:color w:val="000000"/>
                <w:sz w:val="18"/>
                <w:szCs w:val="18"/>
                <w:lang w:eastAsia="zh-CN"/>
              </w:rPr>
              <w:t>、</w:t>
            </w:r>
            <w:r>
              <w:rPr>
                <w:rFonts w:hint="eastAsia" w:ascii="宋体" w:hAnsi="宋体" w:eastAsia="宋体" w:cs="宋体"/>
                <w:color w:val="000000"/>
                <w:sz w:val="18"/>
                <w:szCs w:val="18"/>
              </w:rPr>
              <w:t>牢记使命”主题教育，各项工作圆满顺利完成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51" w:hRule="atLeast"/>
          <w:jc w:val="center"/>
        </w:trPr>
        <w:tc>
          <w:tcPr>
            <w:tcW w:w="9343" w:type="dxa"/>
            <w:gridSpan w:val="17"/>
            <w:vAlign w:val="center"/>
          </w:tcPr>
          <w:p>
            <w:pPr>
              <w:spacing w:line="25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分解目标自评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blHeader/>
          <w:jc w:val="center"/>
        </w:trPr>
        <w:tc>
          <w:tcPr>
            <w:tcW w:w="503" w:type="dxa"/>
            <w:vAlign w:val="center"/>
          </w:tcPr>
          <w:p>
            <w:pPr>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一级指标</w:t>
            </w:r>
          </w:p>
        </w:tc>
        <w:tc>
          <w:tcPr>
            <w:tcW w:w="503" w:type="dxa"/>
            <w:vAlign w:val="center"/>
          </w:tcPr>
          <w:p>
            <w:pPr>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503" w:type="dxa"/>
            <w:gridSpan w:val="2"/>
            <w:vAlign w:val="center"/>
          </w:tcPr>
          <w:p>
            <w:pPr>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二级</w:t>
            </w:r>
          </w:p>
          <w:p>
            <w:pPr>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503" w:type="dxa"/>
            <w:gridSpan w:val="2"/>
            <w:vAlign w:val="center"/>
          </w:tcPr>
          <w:p>
            <w:pPr>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783" w:type="dxa"/>
            <w:gridSpan w:val="2"/>
            <w:vAlign w:val="center"/>
          </w:tcPr>
          <w:p>
            <w:pPr>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三级</w:t>
            </w:r>
          </w:p>
          <w:p>
            <w:pPr>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517" w:type="dxa"/>
            <w:vAlign w:val="center"/>
          </w:tcPr>
          <w:p>
            <w:pPr>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2483" w:type="dxa"/>
            <w:gridSpan w:val="4"/>
            <w:vAlign w:val="center"/>
          </w:tcPr>
          <w:p>
            <w:pPr>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评价标准</w:t>
            </w:r>
          </w:p>
        </w:tc>
        <w:tc>
          <w:tcPr>
            <w:tcW w:w="2673" w:type="dxa"/>
            <w:gridSpan w:val="3"/>
            <w:vAlign w:val="center"/>
          </w:tcPr>
          <w:p>
            <w:pPr>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指标说明</w:t>
            </w:r>
          </w:p>
        </w:tc>
        <w:tc>
          <w:tcPr>
            <w:tcW w:w="875" w:type="dxa"/>
            <w:vAlign w:val="center"/>
          </w:tcPr>
          <w:p>
            <w:pPr>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680" w:hRule="atLeast"/>
          <w:jc w:val="center"/>
        </w:trPr>
        <w:tc>
          <w:tcPr>
            <w:tcW w:w="503" w:type="dxa"/>
            <w:vMerge w:val="restart"/>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投入</w:t>
            </w:r>
          </w:p>
        </w:tc>
        <w:tc>
          <w:tcPr>
            <w:tcW w:w="503" w:type="dxa"/>
            <w:vMerge w:val="restart"/>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10</w:t>
            </w:r>
          </w:p>
        </w:tc>
        <w:tc>
          <w:tcPr>
            <w:tcW w:w="503" w:type="dxa"/>
            <w:gridSpan w:val="2"/>
            <w:vMerge w:val="restart"/>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预算配置</w:t>
            </w:r>
          </w:p>
        </w:tc>
        <w:tc>
          <w:tcPr>
            <w:tcW w:w="503" w:type="dxa"/>
            <w:gridSpan w:val="2"/>
            <w:vMerge w:val="restart"/>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10</w:t>
            </w:r>
          </w:p>
        </w:tc>
        <w:tc>
          <w:tcPr>
            <w:tcW w:w="783" w:type="dxa"/>
            <w:gridSpan w:val="2"/>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在职人员控制率</w:t>
            </w:r>
          </w:p>
        </w:tc>
        <w:tc>
          <w:tcPr>
            <w:tcW w:w="517" w:type="dxa"/>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w:t>
            </w:r>
          </w:p>
        </w:tc>
        <w:tc>
          <w:tcPr>
            <w:tcW w:w="2483" w:type="dxa"/>
            <w:gridSpan w:val="4"/>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以</w:t>
            </w:r>
            <w:r>
              <w:rPr>
                <w:rFonts w:ascii="宋体" w:hAnsi="宋体" w:eastAsia="宋体" w:cs="宋体"/>
                <w:kern w:val="0"/>
                <w:sz w:val="18"/>
                <w:szCs w:val="18"/>
              </w:rPr>
              <w:t>100%</w:t>
            </w:r>
            <w:r>
              <w:rPr>
                <w:rFonts w:hint="eastAsia" w:ascii="宋体" w:hAnsi="宋体" w:eastAsia="宋体" w:cs="宋体"/>
                <w:kern w:val="0"/>
                <w:sz w:val="18"/>
                <w:szCs w:val="18"/>
              </w:rPr>
              <w:t>为标准。在职人员控制率≦</w:t>
            </w:r>
            <w:r>
              <w:rPr>
                <w:rFonts w:ascii="宋体" w:hAnsi="宋体" w:eastAsia="宋体" w:cs="宋体"/>
                <w:kern w:val="0"/>
                <w:sz w:val="18"/>
                <w:szCs w:val="18"/>
              </w:rPr>
              <w:t>100%</w:t>
            </w:r>
            <w:r>
              <w:rPr>
                <w:rFonts w:hint="eastAsia" w:ascii="宋体" w:hAnsi="宋体" w:eastAsia="宋体" w:cs="宋体"/>
                <w:kern w:val="0"/>
                <w:sz w:val="18"/>
                <w:szCs w:val="18"/>
              </w:rPr>
              <w:t>，计</w:t>
            </w:r>
            <w:r>
              <w:rPr>
                <w:rFonts w:ascii="宋体" w:hAnsi="宋体" w:eastAsia="宋体" w:cs="宋体"/>
                <w:kern w:val="0"/>
                <w:sz w:val="18"/>
                <w:szCs w:val="18"/>
              </w:rPr>
              <w:t>5</w:t>
            </w:r>
            <w:r>
              <w:rPr>
                <w:rFonts w:hint="eastAsia" w:ascii="宋体" w:hAnsi="宋体" w:eastAsia="宋体" w:cs="宋体"/>
                <w:kern w:val="0"/>
                <w:sz w:val="18"/>
                <w:szCs w:val="18"/>
              </w:rPr>
              <w:t>分；每超过一个百分点扣</w:t>
            </w:r>
            <w:r>
              <w:rPr>
                <w:rFonts w:ascii="宋体" w:hAnsi="宋体" w:eastAsia="宋体" w:cs="宋体"/>
                <w:kern w:val="0"/>
                <w:sz w:val="18"/>
                <w:szCs w:val="18"/>
              </w:rPr>
              <w:t>0.5</w:t>
            </w:r>
            <w:r>
              <w:rPr>
                <w:rFonts w:hint="eastAsia" w:ascii="宋体" w:hAnsi="宋体" w:eastAsia="宋体" w:cs="宋体"/>
                <w:kern w:val="0"/>
                <w:sz w:val="18"/>
                <w:szCs w:val="18"/>
              </w:rPr>
              <w:t>分，扣完为止。</w:t>
            </w:r>
          </w:p>
        </w:tc>
        <w:tc>
          <w:tcPr>
            <w:tcW w:w="2673" w:type="dxa"/>
            <w:gridSpan w:val="3"/>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在职人员控制率</w:t>
            </w:r>
            <w:r>
              <w:rPr>
                <w:rFonts w:ascii="宋体" w:hAnsi="宋体" w:eastAsia="宋体" w:cs="宋体"/>
                <w:kern w:val="0"/>
                <w:sz w:val="18"/>
                <w:szCs w:val="18"/>
              </w:rPr>
              <w:t>=</w:t>
            </w:r>
            <w:r>
              <w:rPr>
                <w:rFonts w:hint="eastAsia" w:ascii="宋体" w:hAnsi="宋体" w:eastAsia="宋体" w:cs="宋体"/>
                <w:kern w:val="0"/>
                <w:sz w:val="18"/>
                <w:szCs w:val="18"/>
              </w:rPr>
              <w:t>（在职人员数</w:t>
            </w:r>
            <w:r>
              <w:rPr>
                <w:rFonts w:ascii="宋体" w:hAnsi="宋体" w:eastAsia="宋体" w:cs="宋体"/>
                <w:kern w:val="0"/>
                <w:sz w:val="18"/>
                <w:szCs w:val="18"/>
              </w:rPr>
              <w:t>/</w:t>
            </w:r>
            <w:r>
              <w:rPr>
                <w:rFonts w:hint="eastAsia" w:ascii="宋体" w:hAnsi="宋体" w:eastAsia="宋体" w:cs="宋体"/>
                <w:kern w:val="0"/>
                <w:sz w:val="18"/>
                <w:szCs w:val="18"/>
              </w:rPr>
              <w:t>编制数）×</w:t>
            </w:r>
            <w:r>
              <w:rPr>
                <w:rFonts w:ascii="宋体" w:hAnsi="宋体" w:eastAsia="宋体" w:cs="宋体"/>
                <w:kern w:val="0"/>
                <w:sz w:val="18"/>
                <w:szCs w:val="18"/>
              </w:rPr>
              <w:t>100%</w:t>
            </w:r>
            <w:r>
              <w:rPr>
                <w:rFonts w:hint="eastAsia" w:ascii="宋体" w:hAnsi="宋体" w:eastAsia="宋体" w:cs="宋体"/>
                <w:kern w:val="0"/>
                <w:sz w:val="18"/>
                <w:szCs w:val="18"/>
              </w:rPr>
              <w:t>，在职人员数：部门（单位）实际在职人数，以财政厅确定的部门决算编制口径为准。</w:t>
            </w:r>
            <w:r>
              <w:rPr>
                <w:rFonts w:ascii="宋体" w:hAnsi="宋体" w:eastAsia="宋体" w:cs="宋体"/>
                <w:kern w:val="0"/>
                <w:sz w:val="18"/>
                <w:szCs w:val="18"/>
              </w:rPr>
              <w:br w:type="textWrapping"/>
            </w:r>
            <w:r>
              <w:rPr>
                <w:rFonts w:hint="eastAsia" w:ascii="宋体" w:hAnsi="宋体" w:eastAsia="宋体" w:cs="宋体"/>
                <w:kern w:val="0"/>
                <w:sz w:val="18"/>
                <w:szCs w:val="18"/>
              </w:rPr>
              <w:t>编制数：机构编制部门核定批复的部门（单位）的人员编制数。</w:t>
            </w:r>
          </w:p>
        </w:tc>
        <w:tc>
          <w:tcPr>
            <w:tcW w:w="875" w:type="dxa"/>
            <w:vAlign w:val="center"/>
          </w:tcPr>
          <w:p>
            <w:pPr>
              <w:spacing w:line="24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849" w:hRule="atLeast"/>
          <w:jc w:val="center"/>
        </w:trPr>
        <w:tc>
          <w:tcPr>
            <w:tcW w:w="503" w:type="dxa"/>
            <w:vMerge w:val="continue"/>
            <w:vAlign w:val="center"/>
          </w:tcPr>
          <w:p>
            <w:pPr>
              <w:spacing w:line="240" w:lineRule="exact"/>
              <w:jc w:val="left"/>
              <w:rPr>
                <w:rFonts w:ascii="宋体" w:hAnsi="宋体" w:eastAsia="宋体" w:cs="宋体"/>
                <w:kern w:val="0"/>
                <w:sz w:val="18"/>
                <w:szCs w:val="18"/>
              </w:rPr>
            </w:pPr>
          </w:p>
        </w:tc>
        <w:tc>
          <w:tcPr>
            <w:tcW w:w="503" w:type="dxa"/>
            <w:vMerge w:val="continue"/>
            <w:vAlign w:val="center"/>
          </w:tcPr>
          <w:p>
            <w:pPr>
              <w:spacing w:line="240" w:lineRule="exact"/>
              <w:jc w:val="left"/>
              <w:rPr>
                <w:rFonts w:ascii="宋体" w:hAnsi="宋体" w:eastAsia="宋体" w:cs="宋体"/>
                <w:kern w:val="0"/>
                <w:sz w:val="18"/>
                <w:szCs w:val="18"/>
              </w:rPr>
            </w:pPr>
          </w:p>
        </w:tc>
        <w:tc>
          <w:tcPr>
            <w:tcW w:w="503" w:type="dxa"/>
            <w:gridSpan w:val="2"/>
            <w:vMerge w:val="continue"/>
            <w:vAlign w:val="center"/>
          </w:tcPr>
          <w:p>
            <w:pPr>
              <w:spacing w:line="240" w:lineRule="exact"/>
              <w:jc w:val="left"/>
              <w:rPr>
                <w:rFonts w:ascii="宋体" w:hAnsi="宋体" w:eastAsia="宋体" w:cs="宋体"/>
                <w:kern w:val="0"/>
                <w:sz w:val="18"/>
                <w:szCs w:val="18"/>
              </w:rPr>
            </w:pPr>
          </w:p>
        </w:tc>
        <w:tc>
          <w:tcPr>
            <w:tcW w:w="503" w:type="dxa"/>
            <w:gridSpan w:val="2"/>
            <w:vMerge w:val="continue"/>
            <w:vAlign w:val="center"/>
          </w:tcPr>
          <w:p>
            <w:pPr>
              <w:spacing w:line="240" w:lineRule="exact"/>
              <w:jc w:val="left"/>
              <w:rPr>
                <w:rFonts w:ascii="宋体" w:hAnsi="宋体" w:eastAsia="宋体" w:cs="宋体"/>
                <w:kern w:val="0"/>
                <w:sz w:val="18"/>
                <w:szCs w:val="18"/>
              </w:rPr>
            </w:pPr>
          </w:p>
        </w:tc>
        <w:tc>
          <w:tcPr>
            <w:tcW w:w="783" w:type="dxa"/>
            <w:gridSpan w:val="2"/>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“三公经费”变动率</w:t>
            </w:r>
          </w:p>
        </w:tc>
        <w:tc>
          <w:tcPr>
            <w:tcW w:w="517" w:type="dxa"/>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w:t>
            </w:r>
          </w:p>
        </w:tc>
        <w:tc>
          <w:tcPr>
            <w:tcW w:w="2483" w:type="dxa"/>
            <w:gridSpan w:val="4"/>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“三公经费”变动率≦</w:t>
            </w:r>
            <w:r>
              <w:rPr>
                <w:rFonts w:ascii="宋体" w:hAnsi="宋体" w:eastAsia="宋体" w:cs="宋体"/>
                <w:kern w:val="0"/>
                <w:sz w:val="18"/>
                <w:szCs w:val="18"/>
              </w:rPr>
              <w:t>0,</w:t>
            </w:r>
            <w:r>
              <w:rPr>
                <w:rFonts w:hint="eastAsia" w:ascii="宋体" w:hAnsi="宋体" w:eastAsia="宋体" w:cs="宋体"/>
                <w:kern w:val="0"/>
                <w:sz w:val="18"/>
                <w:szCs w:val="18"/>
              </w:rPr>
              <w:t>计</w:t>
            </w:r>
            <w:r>
              <w:rPr>
                <w:rFonts w:ascii="宋体" w:hAnsi="宋体" w:eastAsia="宋体" w:cs="宋体"/>
                <w:kern w:val="0"/>
                <w:sz w:val="18"/>
                <w:szCs w:val="18"/>
              </w:rPr>
              <w:t>5</w:t>
            </w:r>
            <w:r>
              <w:rPr>
                <w:rFonts w:hint="eastAsia" w:ascii="宋体" w:hAnsi="宋体" w:eastAsia="宋体" w:cs="宋体"/>
                <w:kern w:val="0"/>
                <w:sz w:val="18"/>
                <w:szCs w:val="18"/>
              </w:rPr>
              <w:t>分；“三公经费”＞</w:t>
            </w:r>
            <w:r>
              <w:rPr>
                <w:rFonts w:ascii="宋体" w:hAnsi="宋体" w:eastAsia="宋体" w:cs="宋体"/>
                <w:kern w:val="0"/>
                <w:sz w:val="18"/>
                <w:szCs w:val="18"/>
              </w:rPr>
              <w:t>0</w:t>
            </w:r>
            <w:r>
              <w:rPr>
                <w:rFonts w:hint="eastAsia" w:ascii="宋体" w:hAnsi="宋体" w:eastAsia="宋体" w:cs="宋体"/>
                <w:kern w:val="0"/>
                <w:sz w:val="18"/>
                <w:szCs w:val="18"/>
              </w:rPr>
              <w:t>，每超过一个百分点扣</w:t>
            </w:r>
            <w:r>
              <w:rPr>
                <w:rFonts w:ascii="宋体" w:hAnsi="宋体" w:eastAsia="宋体" w:cs="宋体"/>
                <w:kern w:val="0"/>
                <w:sz w:val="18"/>
                <w:szCs w:val="18"/>
              </w:rPr>
              <w:t>0.8</w:t>
            </w:r>
            <w:r>
              <w:rPr>
                <w:rFonts w:hint="eastAsia" w:ascii="宋体" w:hAnsi="宋体" w:eastAsia="宋体" w:cs="宋体"/>
                <w:kern w:val="0"/>
                <w:sz w:val="18"/>
                <w:szCs w:val="18"/>
              </w:rPr>
              <w:t>分，扣完为止。</w:t>
            </w:r>
          </w:p>
        </w:tc>
        <w:tc>
          <w:tcPr>
            <w:tcW w:w="2673" w:type="dxa"/>
            <w:gridSpan w:val="3"/>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“三公经费”变动率</w:t>
            </w:r>
            <w:r>
              <w:rPr>
                <w:rFonts w:ascii="宋体" w:hAnsi="宋体" w:eastAsia="宋体" w:cs="宋体"/>
                <w:kern w:val="0"/>
                <w:sz w:val="18"/>
                <w:szCs w:val="18"/>
              </w:rPr>
              <w:t>=[</w:t>
            </w:r>
            <w:r>
              <w:rPr>
                <w:rFonts w:hint="eastAsia" w:ascii="宋体" w:hAnsi="宋体" w:eastAsia="宋体" w:cs="宋体"/>
                <w:kern w:val="0"/>
                <w:sz w:val="18"/>
                <w:szCs w:val="18"/>
              </w:rPr>
              <w:t>（本年度“三公经费”预算数</w:t>
            </w:r>
            <w:r>
              <w:rPr>
                <w:rFonts w:ascii="宋体" w:hAnsi="宋体" w:eastAsia="宋体" w:cs="宋体"/>
                <w:kern w:val="0"/>
                <w:sz w:val="18"/>
                <w:szCs w:val="18"/>
              </w:rPr>
              <w:t>-</w:t>
            </w:r>
            <w:r>
              <w:rPr>
                <w:rFonts w:hint="eastAsia" w:ascii="宋体" w:hAnsi="宋体" w:eastAsia="宋体" w:cs="宋体"/>
                <w:kern w:val="0"/>
                <w:sz w:val="18"/>
                <w:szCs w:val="18"/>
              </w:rPr>
              <w:t>上年度“三公经费”预算数）</w:t>
            </w:r>
            <w:r>
              <w:rPr>
                <w:rFonts w:ascii="宋体" w:hAnsi="宋体" w:eastAsia="宋体" w:cs="宋体"/>
                <w:kern w:val="0"/>
                <w:sz w:val="18"/>
                <w:szCs w:val="18"/>
              </w:rPr>
              <w:t>/</w:t>
            </w:r>
            <w:r>
              <w:rPr>
                <w:rFonts w:hint="eastAsia" w:ascii="宋体" w:hAnsi="宋体" w:eastAsia="宋体" w:cs="宋体"/>
                <w:kern w:val="0"/>
                <w:sz w:val="18"/>
                <w:szCs w:val="18"/>
              </w:rPr>
              <w:t>上年度“三公经费”预算数</w:t>
            </w:r>
            <w:r>
              <w:rPr>
                <w:rFonts w:ascii="宋体" w:hAnsi="宋体" w:eastAsia="宋体" w:cs="宋体"/>
                <w:kern w:val="0"/>
                <w:sz w:val="18"/>
                <w:szCs w:val="18"/>
              </w:rPr>
              <w:t>]</w:t>
            </w:r>
            <w:r>
              <w:rPr>
                <w:rFonts w:hint="eastAsia" w:ascii="宋体" w:hAnsi="宋体" w:eastAsia="宋体" w:cs="宋体"/>
                <w:kern w:val="0"/>
                <w:sz w:val="18"/>
                <w:szCs w:val="18"/>
              </w:rPr>
              <w:t>×</w:t>
            </w:r>
            <w:r>
              <w:rPr>
                <w:rFonts w:ascii="宋体" w:hAnsi="宋体" w:eastAsia="宋体" w:cs="宋体"/>
                <w:kern w:val="0"/>
                <w:sz w:val="18"/>
                <w:szCs w:val="18"/>
              </w:rPr>
              <w:t>100%</w:t>
            </w:r>
          </w:p>
        </w:tc>
        <w:tc>
          <w:tcPr>
            <w:tcW w:w="875" w:type="dxa"/>
            <w:vAlign w:val="center"/>
          </w:tcPr>
          <w:p>
            <w:pPr>
              <w:spacing w:line="24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560" w:hRule="atLeast"/>
          <w:jc w:val="center"/>
        </w:trPr>
        <w:tc>
          <w:tcPr>
            <w:tcW w:w="503" w:type="dxa"/>
            <w:vMerge w:val="restart"/>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过</w:t>
            </w:r>
          </w:p>
          <w:p>
            <w:pPr>
              <w:spacing w:line="240" w:lineRule="exact"/>
              <w:jc w:val="center"/>
              <w:rPr>
                <w:rFonts w:ascii="宋体" w:hAnsi="宋体" w:eastAsia="宋体" w:cs="宋体"/>
                <w:kern w:val="0"/>
                <w:sz w:val="18"/>
                <w:szCs w:val="18"/>
              </w:rPr>
            </w:pPr>
          </w:p>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程</w:t>
            </w:r>
          </w:p>
        </w:tc>
        <w:tc>
          <w:tcPr>
            <w:tcW w:w="503" w:type="dxa"/>
            <w:vMerge w:val="restart"/>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60</w:t>
            </w:r>
          </w:p>
        </w:tc>
        <w:tc>
          <w:tcPr>
            <w:tcW w:w="503" w:type="dxa"/>
            <w:gridSpan w:val="2"/>
            <w:vMerge w:val="restart"/>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预算执行</w:t>
            </w:r>
          </w:p>
        </w:tc>
        <w:tc>
          <w:tcPr>
            <w:tcW w:w="503" w:type="dxa"/>
            <w:gridSpan w:val="2"/>
            <w:vMerge w:val="restart"/>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20</w:t>
            </w:r>
          </w:p>
        </w:tc>
        <w:tc>
          <w:tcPr>
            <w:tcW w:w="783" w:type="dxa"/>
            <w:gridSpan w:val="2"/>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预算完成率</w:t>
            </w:r>
          </w:p>
        </w:tc>
        <w:tc>
          <w:tcPr>
            <w:tcW w:w="517" w:type="dxa"/>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w:t>
            </w:r>
          </w:p>
        </w:tc>
        <w:tc>
          <w:tcPr>
            <w:tcW w:w="2483" w:type="dxa"/>
            <w:gridSpan w:val="4"/>
            <w:vAlign w:val="center"/>
          </w:tcPr>
          <w:p>
            <w:pPr>
              <w:spacing w:line="240" w:lineRule="exact"/>
              <w:jc w:val="left"/>
              <w:rPr>
                <w:rFonts w:ascii="宋体" w:hAnsi="宋体" w:eastAsia="宋体" w:cs="宋体"/>
                <w:kern w:val="0"/>
                <w:sz w:val="18"/>
                <w:szCs w:val="18"/>
              </w:rPr>
            </w:pPr>
            <w:r>
              <w:rPr>
                <w:rFonts w:ascii="宋体" w:hAnsi="宋体" w:eastAsia="宋体" w:cs="宋体"/>
                <w:kern w:val="0"/>
                <w:sz w:val="18"/>
                <w:szCs w:val="18"/>
              </w:rPr>
              <w:t>100%</w:t>
            </w:r>
            <w:r>
              <w:rPr>
                <w:rFonts w:hint="eastAsia" w:ascii="宋体" w:hAnsi="宋体" w:eastAsia="宋体" w:cs="宋体"/>
                <w:kern w:val="0"/>
                <w:sz w:val="18"/>
                <w:szCs w:val="18"/>
              </w:rPr>
              <w:t>计满分，每低于</w:t>
            </w:r>
            <w:r>
              <w:rPr>
                <w:rFonts w:ascii="宋体" w:hAnsi="宋体" w:eastAsia="宋体" w:cs="宋体"/>
                <w:kern w:val="0"/>
                <w:sz w:val="18"/>
                <w:szCs w:val="18"/>
              </w:rPr>
              <w:t>5%</w:t>
            </w:r>
            <w:r>
              <w:rPr>
                <w:rFonts w:hint="eastAsia" w:ascii="宋体" w:hAnsi="宋体" w:eastAsia="宋体" w:cs="宋体"/>
                <w:kern w:val="0"/>
                <w:sz w:val="18"/>
                <w:szCs w:val="18"/>
              </w:rPr>
              <w:t>扣</w:t>
            </w:r>
            <w:r>
              <w:rPr>
                <w:rFonts w:ascii="宋体" w:hAnsi="宋体" w:eastAsia="宋体" w:cs="宋体"/>
                <w:kern w:val="0"/>
                <w:sz w:val="18"/>
                <w:szCs w:val="18"/>
              </w:rPr>
              <w:t>2</w:t>
            </w:r>
            <w:r>
              <w:rPr>
                <w:rFonts w:hint="eastAsia" w:ascii="宋体" w:hAnsi="宋体" w:eastAsia="宋体" w:cs="宋体"/>
                <w:kern w:val="0"/>
                <w:sz w:val="18"/>
                <w:szCs w:val="18"/>
              </w:rPr>
              <w:t>分，扣完为止。</w:t>
            </w:r>
          </w:p>
        </w:tc>
        <w:tc>
          <w:tcPr>
            <w:tcW w:w="2673" w:type="dxa"/>
            <w:gridSpan w:val="3"/>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预算完成率</w:t>
            </w:r>
            <w:r>
              <w:rPr>
                <w:rFonts w:ascii="宋体" w:hAnsi="宋体" w:eastAsia="宋体" w:cs="宋体"/>
                <w:kern w:val="0"/>
                <w:sz w:val="18"/>
                <w:szCs w:val="18"/>
              </w:rPr>
              <w:t>=</w:t>
            </w:r>
            <w:r>
              <w:rPr>
                <w:rFonts w:hint="eastAsia" w:ascii="宋体" w:hAnsi="宋体" w:eastAsia="宋体" w:cs="宋体"/>
                <w:kern w:val="0"/>
                <w:sz w:val="18"/>
                <w:szCs w:val="18"/>
              </w:rPr>
              <w:t>（上年结转</w:t>
            </w:r>
            <w:r>
              <w:rPr>
                <w:rFonts w:ascii="宋体" w:hAnsi="宋体" w:eastAsia="宋体" w:cs="宋体"/>
                <w:kern w:val="0"/>
                <w:sz w:val="18"/>
                <w:szCs w:val="18"/>
              </w:rPr>
              <w:t>+</w:t>
            </w:r>
            <w:r>
              <w:rPr>
                <w:rFonts w:hint="eastAsia" w:ascii="宋体" w:hAnsi="宋体" w:eastAsia="宋体" w:cs="宋体"/>
                <w:kern w:val="0"/>
                <w:sz w:val="18"/>
                <w:szCs w:val="18"/>
              </w:rPr>
              <w:t>年初预算</w:t>
            </w:r>
            <w:r>
              <w:rPr>
                <w:rFonts w:ascii="宋体" w:hAnsi="宋体" w:eastAsia="宋体" w:cs="宋体"/>
                <w:kern w:val="0"/>
                <w:sz w:val="18"/>
                <w:szCs w:val="18"/>
              </w:rPr>
              <w:t>+</w:t>
            </w:r>
            <w:r>
              <w:rPr>
                <w:rFonts w:hint="eastAsia" w:ascii="宋体" w:hAnsi="宋体" w:eastAsia="宋体" w:cs="宋体"/>
                <w:kern w:val="0"/>
                <w:sz w:val="18"/>
                <w:szCs w:val="18"/>
              </w:rPr>
              <w:t>本年追加预算</w:t>
            </w:r>
            <w:r>
              <w:rPr>
                <w:rFonts w:ascii="宋体" w:hAnsi="宋体" w:eastAsia="宋体" w:cs="宋体"/>
                <w:kern w:val="0"/>
                <w:sz w:val="18"/>
                <w:szCs w:val="18"/>
              </w:rPr>
              <w:t>-</w:t>
            </w:r>
            <w:r>
              <w:rPr>
                <w:rFonts w:hint="eastAsia" w:ascii="宋体" w:hAnsi="宋体" w:eastAsia="宋体" w:cs="宋体"/>
                <w:kern w:val="0"/>
                <w:sz w:val="18"/>
                <w:szCs w:val="18"/>
              </w:rPr>
              <w:t>年末结余）</w:t>
            </w:r>
            <w:r>
              <w:rPr>
                <w:rFonts w:ascii="宋体" w:hAnsi="宋体" w:eastAsia="宋体" w:cs="宋体"/>
                <w:kern w:val="0"/>
                <w:sz w:val="18"/>
                <w:szCs w:val="18"/>
              </w:rPr>
              <w:t>/</w:t>
            </w:r>
            <w:r>
              <w:rPr>
                <w:rFonts w:hint="eastAsia" w:ascii="宋体" w:hAnsi="宋体" w:eastAsia="宋体" w:cs="宋体"/>
                <w:kern w:val="0"/>
                <w:sz w:val="18"/>
                <w:szCs w:val="18"/>
              </w:rPr>
              <w:t>（上年结转</w:t>
            </w:r>
            <w:r>
              <w:rPr>
                <w:rFonts w:ascii="宋体" w:hAnsi="宋体" w:eastAsia="宋体" w:cs="宋体"/>
                <w:kern w:val="0"/>
                <w:sz w:val="18"/>
                <w:szCs w:val="18"/>
              </w:rPr>
              <w:t>+</w:t>
            </w:r>
            <w:r>
              <w:rPr>
                <w:rFonts w:hint="eastAsia" w:ascii="宋体" w:hAnsi="宋体" w:eastAsia="宋体" w:cs="宋体"/>
                <w:kern w:val="0"/>
                <w:sz w:val="18"/>
                <w:szCs w:val="18"/>
              </w:rPr>
              <w:t>年初预算</w:t>
            </w:r>
            <w:r>
              <w:rPr>
                <w:rFonts w:ascii="宋体" w:hAnsi="宋体" w:eastAsia="宋体" w:cs="宋体"/>
                <w:kern w:val="0"/>
                <w:sz w:val="18"/>
                <w:szCs w:val="18"/>
              </w:rPr>
              <w:t>+</w:t>
            </w:r>
            <w:r>
              <w:rPr>
                <w:rFonts w:hint="eastAsia" w:ascii="宋体" w:hAnsi="宋体" w:eastAsia="宋体" w:cs="宋体"/>
                <w:kern w:val="0"/>
                <w:sz w:val="18"/>
                <w:szCs w:val="18"/>
              </w:rPr>
              <w:t>本年追加预算）×</w:t>
            </w:r>
            <w:r>
              <w:rPr>
                <w:rFonts w:ascii="宋体" w:hAnsi="宋体" w:eastAsia="宋体" w:cs="宋体"/>
                <w:kern w:val="0"/>
                <w:sz w:val="18"/>
                <w:szCs w:val="18"/>
              </w:rPr>
              <w:t>100%</w:t>
            </w:r>
            <w:r>
              <w:rPr>
                <w:rFonts w:hint="eastAsia" w:ascii="宋体" w:hAnsi="宋体" w:eastAsia="宋体" w:cs="宋体"/>
                <w:kern w:val="0"/>
                <w:sz w:val="18"/>
                <w:szCs w:val="18"/>
              </w:rPr>
              <w:t>。</w:t>
            </w:r>
          </w:p>
        </w:tc>
        <w:tc>
          <w:tcPr>
            <w:tcW w:w="875" w:type="dxa"/>
            <w:vAlign w:val="center"/>
          </w:tcPr>
          <w:p>
            <w:pPr>
              <w:spacing w:line="24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560" w:hRule="atLeast"/>
          <w:jc w:val="center"/>
        </w:trPr>
        <w:tc>
          <w:tcPr>
            <w:tcW w:w="503" w:type="dxa"/>
            <w:vMerge w:val="continue"/>
            <w:vAlign w:val="center"/>
          </w:tcPr>
          <w:p>
            <w:pPr>
              <w:spacing w:line="240" w:lineRule="exact"/>
              <w:jc w:val="left"/>
              <w:rPr>
                <w:rFonts w:ascii="宋体" w:hAnsi="宋体" w:eastAsia="宋体" w:cs="宋体"/>
                <w:kern w:val="0"/>
                <w:sz w:val="18"/>
                <w:szCs w:val="18"/>
              </w:rPr>
            </w:pPr>
          </w:p>
        </w:tc>
        <w:tc>
          <w:tcPr>
            <w:tcW w:w="503" w:type="dxa"/>
            <w:vMerge w:val="continue"/>
            <w:vAlign w:val="center"/>
          </w:tcPr>
          <w:p>
            <w:pPr>
              <w:spacing w:line="240" w:lineRule="exact"/>
              <w:jc w:val="left"/>
              <w:rPr>
                <w:rFonts w:ascii="宋体" w:hAnsi="宋体" w:eastAsia="宋体" w:cs="宋体"/>
                <w:kern w:val="0"/>
                <w:sz w:val="18"/>
                <w:szCs w:val="18"/>
              </w:rPr>
            </w:pPr>
          </w:p>
        </w:tc>
        <w:tc>
          <w:tcPr>
            <w:tcW w:w="503" w:type="dxa"/>
            <w:gridSpan w:val="2"/>
            <w:vMerge w:val="continue"/>
            <w:vAlign w:val="center"/>
          </w:tcPr>
          <w:p>
            <w:pPr>
              <w:spacing w:line="240" w:lineRule="exact"/>
              <w:jc w:val="left"/>
              <w:rPr>
                <w:rFonts w:ascii="宋体" w:hAnsi="宋体" w:eastAsia="宋体" w:cs="宋体"/>
                <w:kern w:val="0"/>
                <w:sz w:val="18"/>
                <w:szCs w:val="18"/>
              </w:rPr>
            </w:pPr>
          </w:p>
        </w:tc>
        <w:tc>
          <w:tcPr>
            <w:tcW w:w="503" w:type="dxa"/>
            <w:gridSpan w:val="2"/>
            <w:vMerge w:val="continue"/>
            <w:vAlign w:val="center"/>
          </w:tcPr>
          <w:p>
            <w:pPr>
              <w:spacing w:line="240" w:lineRule="exact"/>
              <w:jc w:val="left"/>
              <w:rPr>
                <w:rFonts w:ascii="宋体" w:hAnsi="宋体" w:eastAsia="宋体" w:cs="宋体"/>
                <w:kern w:val="0"/>
                <w:sz w:val="18"/>
                <w:szCs w:val="18"/>
              </w:rPr>
            </w:pPr>
          </w:p>
        </w:tc>
        <w:tc>
          <w:tcPr>
            <w:tcW w:w="783" w:type="dxa"/>
            <w:gridSpan w:val="2"/>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预算控制率</w:t>
            </w:r>
          </w:p>
        </w:tc>
        <w:tc>
          <w:tcPr>
            <w:tcW w:w="517" w:type="dxa"/>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w:t>
            </w:r>
          </w:p>
        </w:tc>
        <w:tc>
          <w:tcPr>
            <w:tcW w:w="2483" w:type="dxa"/>
            <w:gridSpan w:val="4"/>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预算控制率</w:t>
            </w:r>
            <w:r>
              <w:rPr>
                <w:rFonts w:ascii="宋体" w:hAnsi="宋体" w:eastAsia="宋体" w:cs="宋体"/>
                <w:kern w:val="0"/>
                <w:sz w:val="18"/>
                <w:szCs w:val="18"/>
              </w:rPr>
              <w:t>=0</w:t>
            </w:r>
            <w:r>
              <w:rPr>
                <w:rFonts w:hint="eastAsia" w:ascii="宋体" w:hAnsi="宋体" w:eastAsia="宋体" w:cs="宋体"/>
                <w:kern w:val="0"/>
                <w:sz w:val="18"/>
                <w:szCs w:val="18"/>
              </w:rPr>
              <w:t>，计</w:t>
            </w:r>
            <w:r>
              <w:rPr>
                <w:rFonts w:ascii="宋体" w:hAnsi="宋体" w:eastAsia="宋体" w:cs="宋体"/>
                <w:kern w:val="0"/>
                <w:sz w:val="18"/>
                <w:szCs w:val="18"/>
              </w:rPr>
              <w:t>5</w:t>
            </w:r>
            <w:r>
              <w:rPr>
                <w:rFonts w:hint="eastAsia" w:ascii="宋体" w:hAnsi="宋体" w:eastAsia="宋体" w:cs="宋体"/>
                <w:kern w:val="0"/>
                <w:sz w:val="18"/>
                <w:szCs w:val="18"/>
              </w:rPr>
              <w:t>分；</w:t>
            </w:r>
            <w:r>
              <w:rPr>
                <w:rFonts w:ascii="宋体" w:hAnsi="宋体" w:eastAsia="宋体" w:cs="宋体"/>
                <w:kern w:val="0"/>
                <w:sz w:val="18"/>
                <w:szCs w:val="18"/>
              </w:rPr>
              <w:t>0-10%</w:t>
            </w:r>
            <w:r>
              <w:rPr>
                <w:rFonts w:hint="eastAsia" w:ascii="宋体" w:hAnsi="宋体" w:eastAsia="宋体" w:cs="宋体"/>
                <w:kern w:val="0"/>
                <w:sz w:val="18"/>
                <w:szCs w:val="18"/>
              </w:rPr>
              <w:t>（含），计</w:t>
            </w:r>
            <w:r>
              <w:rPr>
                <w:rFonts w:ascii="宋体" w:hAnsi="宋体" w:eastAsia="宋体" w:cs="宋体"/>
                <w:kern w:val="0"/>
                <w:sz w:val="18"/>
                <w:szCs w:val="18"/>
              </w:rPr>
              <w:t>4</w:t>
            </w:r>
            <w:r>
              <w:rPr>
                <w:rFonts w:hint="eastAsia" w:ascii="宋体" w:hAnsi="宋体" w:eastAsia="宋体" w:cs="宋体"/>
                <w:kern w:val="0"/>
                <w:sz w:val="18"/>
                <w:szCs w:val="18"/>
              </w:rPr>
              <w:t>分；</w:t>
            </w:r>
            <w:r>
              <w:rPr>
                <w:rFonts w:ascii="宋体" w:hAnsi="宋体" w:eastAsia="宋体" w:cs="宋体"/>
                <w:kern w:val="0"/>
                <w:sz w:val="18"/>
                <w:szCs w:val="18"/>
              </w:rPr>
              <w:t>10-20%</w:t>
            </w:r>
            <w:r>
              <w:rPr>
                <w:rFonts w:hint="eastAsia" w:ascii="宋体" w:hAnsi="宋体" w:eastAsia="宋体" w:cs="宋体"/>
                <w:kern w:val="0"/>
                <w:sz w:val="18"/>
                <w:szCs w:val="18"/>
              </w:rPr>
              <w:t>（含），计</w:t>
            </w:r>
            <w:r>
              <w:rPr>
                <w:rFonts w:ascii="宋体" w:hAnsi="宋体" w:eastAsia="宋体" w:cs="宋体"/>
                <w:kern w:val="0"/>
                <w:sz w:val="18"/>
                <w:szCs w:val="18"/>
              </w:rPr>
              <w:t>3</w:t>
            </w:r>
            <w:r>
              <w:rPr>
                <w:rFonts w:hint="eastAsia" w:ascii="宋体" w:hAnsi="宋体" w:eastAsia="宋体" w:cs="宋体"/>
                <w:kern w:val="0"/>
                <w:sz w:val="18"/>
                <w:szCs w:val="18"/>
              </w:rPr>
              <w:t>分；</w:t>
            </w:r>
            <w:r>
              <w:rPr>
                <w:rFonts w:ascii="宋体" w:hAnsi="宋体" w:eastAsia="宋体" w:cs="宋体"/>
                <w:kern w:val="0"/>
                <w:sz w:val="18"/>
                <w:szCs w:val="18"/>
              </w:rPr>
              <w:t>20-30%</w:t>
            </w:r>
            <w:r>
              <w:rPr>
                <w:rFonts w:hint="eastAsia" w:ascii="宋体" w:hAnsi="宋体" w:eastAsia="宋体" w:cs="宋体"/>
                <w:kern w:val="0"/>
                <w:sz w:val="18"/>
                <w:szCs w:val="18"/>
              </w:rPr>
              <w:t>（含），计</w:t>
            </w:r>
            <w:r>
              <w:rPr>
                <w:rFonts w:ascii="宋体" w:hAnsi="宋体" w:eastAsia="宋体" w:cs="宋体"/>
                <w:kern w:val="0"/>
                <w:sz w:val="18"/>
                <w:szCs w:val="18"/>
              </w:rPr>
              <w:t>2</w:t>
            </w:r>
            <w:r>
              <w:rPr>
                <w:rFonts w:hint="eastAsia" w:ascii="宋体" w:hAnsi="宋体" w:eastAsia="宋体" w:cs="宋体"/>
                <w:kern w:val="0"/>
                <w:sz w:val="18"/>
                <w:szCs w:val="18"/>
              </w:rPr>
              <w:t>分；大于</w:t>
            </w:r>
            <w:r>
              <w:rPr>
                <w:rFonts w:ascii="宋体" w:hAnsi="宋体" w:eastAsia="宋体" w:cs="宋体"/>
                <w:kern w:val="0"/>
                <w:sz w:val="18"/>
                <w:szCs w:val="18"/>
              </w:rPr>
              <w:t>30%</w:t>
            </w:r>
            <w:r>
              <w:rPr>
                <w:rFonts w:hint="eastAsia" w:ascii="宋体" w:hAnsi="宋体" w:eastAsia="宋体" w:cs="宋体"/>
                <w:kern w:val="0"/>
                <w:sz w:val="18"/>
                <w:szCs w:val="18"/>
              </w:rPr>
              <w:t>不得分。</w:t>
            </w:r>
          </w:p>
        </w:tc>
        <w:tc>
          <w:tcPr>
            <w:tcW w:w="2673" w:type="dxa"/>
            <w:gridSpan w:val="3"/>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预算控制率</w:t>
            </w:r>
            <w:r>
              <w:rPr>
                <w:rFonts w:ascii="宋体" w:hAnsi="宋体" w:eastAsia="宋体" w:cs="宋体"/>
                <w:kern w:val="0"/>
                <w:sz w:val="18"/>
                <w:szCs w:val="18"/>
              </w:rPr>
              <w:t>=</w:t>
            </w:r>
            <w:r>
              <w:rPr>
                <w:rFonts w:hint="eastAsia" w:ascii="宋体" w:hAnsi="宋体" w:eastAsia="宋体" w:cs="宋体"/>
                <w:kern w:val="0"/>
                <w:sz w:val="18"/>
                <w:szCs w:val="18"/>
              </w:rPr>
              <w:t>（本年追加预算</w:t>
            </w:r>
            <w:r>
              <w:rPr>
                <w:rFonts w:ascii="宋体" w:hAnsi="宋体" w:eastAsia="宋体" w:cs="宋体"/>
                <w:kern w:val="0"/>
                <w:sz w:val="18"/>
                <w:szCs w:val="18"/>
              </w:rPr>
              <w:t>/</w:t>
            </w:r>
            <w:r>
              <w:rPr>
                <w:rFonts w:hint="eastAsia" w:ascii="宋体" w:hAnsi="宋体" w:eastAsia="宋体" w:cs="宋体"/>
                <w:kern w:val="0"/>
                <w:sz w:val="18"/>
                <w:szCs w:val="18"/>
              </w:rPr>
              <w:t>年初预算）×</w:t>
            </w:r>
            <w:r>
              <w:rPr>
                <w:rFonts w:ascii="宋体" w:hAnsi="宋体" w:eastAsia="宋体" w:cs="宋体"/>
                <w:kern w:val="0"/>
                <w:sz w:val="18"/>
                <w:szCs w:val="18"/>
              </w:rPr>
              <w:t>100%</w:t>
            </w:r>
            <w:r>
              <w:rPr>
                <w:rFonts w:hint="eastAsia" w:ascii="宋体" w:hAnsi="宋体" w:eastAsia="宋体" w:cs="宋体"/>
                <w:kern w:val="0"/>
                <w:sz w:val="18"/>
                <w:szCs w:val="18"/>
              </w:rPr>
              <w:t>。</w:t>
            </w:r>
          </w:p>
        </w:tc>
        <w:tc>
          <w:tcPr>
            <w:tcW w:w="875" w:type="dxa"/>
            <w:vAlign w:val="center"/>
          </w:tcPr>
          <w:p>
            <w:pPr>
              <w:spacing w:line="24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560" w:hRule="atLeast"/>
          <w:jc w:val="center"/>
        </w:trPr>
        <w:tc>
          <w:tcPr>
            <w:tcW w:w="503" w:type="dxa"/>
            <w:vMerge w:val="continue"/>
            <w:vAlign w:val="center"/>
          </w:tcPr>
          <w:p>
            <w:pPr>
              <w:spacing w:line="240" w:lineRule="exact"/>
              <w:jc w:val="left"/>
              <w:rPr>
                <w:rFonts w:ascii="宋体" w:hAnsi="宋体" w:eastAsia="宋体" w:cs="宋体"/>
                <w:kern w:val="0"/>
                <w:sz w:val="18"/>
                <w:szCs w:val="18"/>
              </w:rPr>
            </w:pPr>
          </w:p>
        </w:tc>
        <w:tc>
          <w:tcPr>
            <w:tcW w:w="503" w:type="dxa"/>
            <w:vMerge w:val="continue"/>
            <w:vAlign w:val="center"/>
          </w:tcPr>
          <w:p>
            <w:pPr>
              <w:spacing w:line="240" w:lineRule="exact"/>
              <w:jc w:val="left"/>
              <w:rPr>
                <w:rFonts w:ascii="宋体" w:hAnsi="宋体" w:eastAsia="宋体" w:cs="宋体"/>
                <w:kern w:val="0"/>
                <w:sz w:val="18"/>
                <w:szCs w:val="18"/>
              </w:rPr>
            </w:pPr>
          </w:p>
        </w:tc>
        <w:tc>
          <w:tcPr>
            <w:tcW w:w="503" w:type="dxa"/>
            <w:gridSpan w:val="2"/>
            <w:vMerge w:val="continue"/>
            <w:vAlign w:val="center"/>
          </w:tcPr>
          <w:p>
            <w:pPr>
              <w:spacing w:line="240" w:lineRule="exact"/>
              <w:jc w:val="left"/>
              <w:rPr>
                <w:rFonts w:ascii="宋体" w:hAnsi="宋体" w:eastAsia="宋体" w:cs="宋体"/>
                <w:kern w:val="0"/>
                <w:sz w:val="18"/>
                <w:szCs w:val="18"/>
              </w:rPr>
            </w:pPr>
          </w:p>
        </w:tc>
        <w:tc>
          <w:tcPr>
            <w:tcW w:w="503" w:type="dxa"/>
            <w:gridSpan w:val="2"/>
            <w:vMerge w:val="continue"/>
            <w:vAlign w:val="center"/>
          </w:tcPr>
          <w:p>
            <w:pPr>
              <w:spacing w:line="240" w:lineRule="exact"/>
              <w:jc w:val="left"/>
              <w:rPr>
                <w:rFonts w:ascii="宋体" w:hAnsi="宋体" w:eastAsia="宋体" w:cs="宋体"/>
                <w:kern w:val="0"/>
                <w:sz w:val="18"/>
                <w:szCs w:val="18"/>
              </w:rPr>
            </w:pPr>
          </w:p>
        </w:tc>
        <w:tc>
          <w:tcPr>
            <w:tcW w:w="783" w:type="dxa"/>
            <w:gridSpan w:val="2"/>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新建楼堂馆所面积控制率</w:t>
            </w:r>
          </w:p>
        </w:tc>
        <w:tc>
          <w:tcPr>
            <w:tcW w:w="517" w:type="dxa"/>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w:t>
            </w:r>
          </w:p>
        </w:tc>
        <w:tc>
          <w:tcPr>
            <w:tcW w:w="2483" w:type="dxa"/>
            <w:gridSpan w:val="4"/>
            <w:vAlign w:val="center"/>
          </w:tcPr>
          <w:p>
            <w:pPr>
              <w:spacing w:line="240" w:lineRule="exact"/>
              <w:jc w:val="left"/>
              <w:rPr>
                <w:rFonts w:ascii="宋体" w:hAnsi="宋体" w:eastAsia="宋体" w:cs="宋体"/>
                <w:kern w:val="0"/>
                <w:sz w:val="18"/>
                <w:szCs w:val="18"/>
              </w:rPr>
            </w:pPr>
            <w:r>
              <w:rPr>
                <w:rFonts w:ascii="宋体" w:hAnsi="宋体" w:eastAsia="宋体" w:cs="宋体"/>
                <w:kern w:val="0"/>
                <w:sz w:val="18"/>
                <w:szCs w:val="18"/>
              </w:rPr>
              <w:t>100%</w:t>
            </w:r>
            <w:r>
              <w:rPr>
                <w:rFonts w:hint="eastAsia" w:ascii="宋体" w:hAnsi="宋体" w:eastAsia="宋体" w:cs="宋体"/>
                <w:kern w:val="0"/>
                <w:sz w:val="18"/>
                <w:szCs w:val="18"/>
              </w:rPr>
              <w:t>以下（含）计满分，每超出</w:t>
            </w:r>
            <w:r>
              <w:rPr>
                <w:rFonts w:ascii="宋体" w:hAnsi="宋体" w:eastAsia="宋体" w:cs="宋体"/>
                <w:kern w:val="0"/>
                <w:sz w:val="18"/>
                <w:szCs w:val="18"/>
              </w:rPr>
              <w:t>5%</w:t>
            </w:r>
            <w:r>
              <w:rPr>
                <w:rFonts w:hint="eastAsia" w:ascii="宋体" w:hAnsi="宋体" w:eastAsia="宋体" w:cs="宋体"/>
                <w:kern w:val="0"/>
                <w:sz w:val="18"/>
                <w:szCs w:val="18"/>
              </w:rPr>
              <w:t>扣</w:t>
            </w:r>
            <w:r>
              <w:rPr>
                <w:rFonts w:ascii="宋体" w:hAnsi="宋体" w:eastAsia="宋体" w:cs="宋体"/>
                <w:kern w:val="0"/>
                <w:sz w:val="18"/>
                <w:szCs w:val="18"/>
              </w:rPr>
              <w:t>2</w:t>
            </w:r>
            <w:r>
              <w:rPr>
                <w:rFonts w:hint="eastAsia" w:ascii="宋体" w:hAnsi="宋体" w:eastAsia="宋体" w:cs="宋体"/>
                <w:kern w:val="0"/>
                <w:sz w:val="18"/>
                <w:szCs w:val="18"/>
              </w:rPr>
              <w:t>分，扣完为止。没有楼堂馆所项目的部门按满分计算。</w:t>
            </w:r>
          </w:p>
        </w:tc>
        <w:tc>
          <w:tcPr>
            <w:tcW w:w="2673" w:type="dxa"/>
            <w:gridSpan w:val="3"/>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楼堂馆所面积控制率</w:t>
            </w:r>
            <w:r>
              <w:rPr>
                <w:rFonts w:ascii="宋体" w:hAnsi="宋体" w:eastAsia="宋体" w:cs="宋体"/>
                <w:kern w:val="0"/>
                <w:sz w:val="18"/>
                <w:szCs w:val="18"/>
              </w:rPr>
              <w:t>=</w:t>
            </w:r>
            <w:r>
              <w:rPr>
                <w:rFonts w:hint="eastAsia" w:ascii="宋体" w:hAnsi="宋体" w:eastAsia="宋体" w:cs="宋体"/>
                <w:kern w:val="0"/>
                <w:sz w:val="18"/>
                <w:szCs w:val="18"/>
              </w:rPr>
              <w:t>实际建设面积</w:t>
            </w:r>
            <w:r>
              <w:rPr>
                <w:rFonts w:ascii="宋体" w:hAnsi="宋体" w:eastAsia="宋体" w:cs="宋体"/>
                <w:kern w:val="0"/>
                <w:sz w:val="18"/>
                <w:szCs w:val="18"/>
              </w:rPr>
              <w:t>/</w:t>
            </w:r>
            <w:r>
              <w:rPr>
                <w:rFonts w:hint="eastAsia" w:ascii="宋体" w:hAnsi="宋体" w:eastAsia="宋体" w:cs="宋体"/>
                <w:kern w:val="0"/>
                <w:sz w:val="18"/>
                <w:szCs w:val="18"/>
              </w:rPr>
              <w:t>批准建设面积×</w:t>
            </w:r>
            <w:r>
              <w:rPr>
                <w:rFonts w:ascii="宋体" w:hAnsi="宋体" w:eastAsia="宋体" w:cs="宋体"/>
                <w:kern w:val="0"/>
                <w:sz w:val="18"/>
                <w:szCs w:val="18"/>
              </w:rPr>
              <w:t xml:space="preserve">100% </w:t>
            </w:r>
            <w:r>
              <w:rPr>
                <w:rFonts w:hint="eastAsia" w:ascii="宋体" w:hAnsi="宋体" w:eastAsia="宋体" w:cs="宋体"/>
                <w:kern w:val="0"/>
                <w:sz w:val="18"/>
                <w:szCs w:val="18"/>
              </w:rPr>
              <w:t>。</w:t>
            </w:r>
            <w:r>
              <w:rPr>
                <w:rFonts w:ascii="宋体" w:hAnsi="宋体" w:eastAsia="宋体" w:cs="宋体"/>
                <w:kern w:val="0"/>
                <w:sz w:val="18"/>
                <w:szCs w:val="18"/>
              </w:rPr>
              <w:br w:type="textWrapping"/>
            </w:r>
            <w:r>
              <w:rPr>
                <w:rFonts w:hint="eastAsia" w:ascii="宋体" w:hAnsi="宋体" w:eastAsia="宋体" w:cs="宋体"/>
                <w:kern w:val="0"/>
                <w:sz w:val="18"/>
                <w:szCs w:val="18"/>
              </w:rPr>
              <w:t>该指标以当年完工的新建楼堂馆所为评价内容。</w:t>
            </w:r>
          </w:p>
        </w:tc>
        <w:tc>
          <w:tcPr>
            <w:tcW w:w="875" w:type="dxa"/>
            <w:vAlign w:val="center"/>
          </w:tcPr>
          <w:p>
            <w:pPr>
              <w:spacing w:line="24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560" w:hRule="atLeast"/>
          <w:jc w:val="center"/>
        </w:trPr>
        <w:tc>
          <w:tcPr>
            <w:tcW w:w="503" w:type="dxa"/>
            <w:vMerge w:val="continue"/>
            <w:vAlign w:val="center"/>
          </w:tcPr>
          <w:p>
            <w:pPr>
              <w:spacing w:line="240" w:lineRule="exact"/>
              <w:jc w:val="left"/>
              <w:rPr>
                <w:rFonts w:ascii="宋体" w:hAnsi="宋体" w:eastAsia="宋体" w:cs="宋体"/>
                <w:kern w:val="0"/>
                <w:sz w:val="18"/>
                <w:szCs w:val="18"/>
              </w:rPr>
            </w:pPr>
          </w:p>
        </w:tc>
        <w:tc>
          <w:tcPr>
            <w:tcW w:w="503" w:type="dxa"/>
            <w:vMerge w:val="continue"/>
            <w:vAlign w:val="center"/>
          </w:tcPr>
          <w:p>
            <w:pPr>
              <w:spacing w:line="240" w:lineRule="exact"/>
              <w:jc w:val="left"/>
              <w:rPr>
                <w:rFonts w:ascii="宋体" w:hAnsi="宋体" w:eastAsia="宋体" w:cs="宋体"/>
                <w:kern w:val="0"/>
                <w:sz w:val="18"/>
                <w:szCs w:val="18"/>
              </w:rPr>
            </w:pPr>
          </w:p>
        </w:tc>
        <w:tc>
          <w:tcPr>
            <w:tcW w:w="503" w:type="dxa"/>
            <w:gridSpan w:val="2"/>
            <w:vMerge w:val="continue"/>
            <w:vAlign w:val="center"/>
          </w:tcPr>
          <w:p>
            <w:pPr>
              <w:spacing w:line="240" w:lineRule="exact"/>
              <w:jc w:val="left"/>
              <w:rPr>
                <w:rFonts w:ascii="宋体" w:hAnsi="宋体" w:eastAsia="宋体" w:cs="宋体"/>
                <w:kern w:val="0"/>
                <w:sz w:val="18"/>
                <w:szCs w:val="18"/>
              </w:rPr>
            </w:pPr>
          </w:p>
        </w:tc>
        <w:tc>
          <w:tcPr>
            <w:tcW w:w="503" w:type="dxa"/>
            <w:gridSpan w:val="2"/>
            <w:vMerge w:val="continue"/>
            <w:vAlign w:val="center"/>
          </w:tcPr>
          <w:p>
            <w:pPr>
              <w:spacing w:line="240" w:lineRule="exact"/>
              <w:jc w:val="left"/>
              <w:rPr>
                <w:rFonts w:ascii="宋体" w:hAnsi="宋体" w:eastAsia="宋体" w:cs="宋体"/>
                <w:kern w:val="0"/>
                <w:sz w:val="18"/>
                <w:szCs w:val="18"/>
              </w:rPr>
            </w:pPr>
          </w:p>
        </w:tc>
        <w:tc>
          <w:tcPr>
            <w:tcW w:w="783" w:type="dxa"/>
            <w:gridSpan w:val="2"/>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新建楼堂馆所投资概算控制率</w:t>
            </w:r>
          </w:p>
        </w:tc>
        <w:tc>
          <w:tcPr>
            <w:tcW w:w="517" w:type="dxa"/>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w:t>
            </w:r>
          </w:p>
        </w:tc>
        <w:tc>
          <w:tcPr>
            <w:tcW w:w="2483" w:type="dxa"/>
            <w:gridSpan w:val="4"/>
            <w:vAlign w:val="center"/>
          </w:tcPr>
          <w:p>
            <w:pPr>
              <w:spacing w:line="240" w:lineRule="exact"/>
              <w:jc w:val="left"/>
              <w:rPr>
                <w:rFonts w:ascii="宋体" w:hAnsi="宋体" w:eastAsia="宋体" w:cs="宋体"/>
                <w:kern w:val="0"/>
                <w:sz w:val="18"/>
                <w:szCs w:val="18"/>
              </w:rPr>
            </w:pPr>
            <w:r>
              <w:rPr>
                <w:rFonts w:ascii="宋体" w:hAnsi="宋体" w:eastAsia="宋体" w:cs="宋体"/>
                <w:kern w:val="0"/>
                <w:sz w:val="18"/>
                <w:szCs w:val="18"/>
              </w:rPr>
              <w:t>100%</w:t>
            </w:r>
            <w:r>
              <w:rPr>
                <w:rFonts w:hint="eastAsia" w:ascii="宋体" w:hAnsi="宋体" w:eastAsia="宋体" w:cs="宋体"/>
                <w:kern w:val="0"/>
                <w:sz w:val="18"/>
                <w:szCs w:val="18"/>
              </w:rPr>
              <w:t>以下（含）计满分，每超出</w:t>
            </w:r>
            <w:r>
              <w:rPr>
                <w:rFonts w:ascii="宋体" w:hAnsi="宋体" w:eastAsia="宋体" w:cs="宋体"/>
                <w:kern w:val="0"/>
                <w:sz w:val="18"/>
                <w:szCs w:val="18"/>
              </w:rPr>
              <w:t>5%</w:t>
            </w:r>
            <w:r>
              <w:rPr>
                <w:rFonts w:hint="eastAsia" w:ascii="宋体" w:hAnsi="宋体" w:eastAsia="宋体" w:cs="宋体"/>
                <w:kern w:val="0"/>
                <w:sz w:val="18"/>
                <w:szCs w:val="18"/>
              </w:rPr>
              <w:t>扣</w:t>
            </w:r>
            <w:r>
              <w:rPr>
                <w:rFonts w:ascii="宋体" w:hAnsi="宋体" w:eastAsia="宋体" w:cs="宋体"/>
                <w:kern w:val="0"/>
                <w:sz w:val="18"/>
                <w:szCs w:val="18"/>
              </w:rPr>
              <w:t>2</w:t>
            </w:r>
            <w:r>
              <w:rPr>
                <w:rFonts w:hint="eastAsia" w:ascii="宋体" w:hAnsi="宋体" w:eastAsia="宋体" w:cs="宋体"/>
                <w:kern w:val="0"/>
                <w:sz w:val="18"/>
                <w:szCs w:val="18"/>
              </w:rPr>
              <w:t>分，扣完为止。</w:t>
            </w:r>
          </w:p>
        </w:tc>
        <w:tc>
          <w:tcPr>
            <w:tcW w:w="2673" w:type="dxa"/>
            <w:gridSpan w:val="3"/>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楼堂馆所投资预算控制率</w:t>
            </w:r>
            <w:r>
              <w:rPr>
                <w:rFonts w:ascii="宋体" w:hAnsi="宋体" w:eastAsia="宋体" w:cs="宋体"/>
                <w:kern w:val="0"/>
                <w:sz w:val="18"/>
                <w:szCs w:val="18"/>
              </w:rPr>
              <w:t>=</w:t>
            </w:r>
            <w:r>
              <w:rPr>
                <w:rFonts w:hint="eastAsia" w:ascii="宋体" w:hAnsi="宋体" w:eastAsia="宋体" w:cs="宋体"/>
                <w:kern w:val="0"/>
                <w:sz w:val="18"/>
                <w:szCs w:val="18"/>
              </w:rPr>
              <w:t>实际投资金额</w:t>
            </w:r>
            <w:r>
              <w:rPr>
                <w:rFonts w:ascii="宋体" w:hAnsi="宋体" w:eastAsia="宋体" w:cs="宋体"/>
                <w:kern w:val="0"/>
                <w:sz w:val="18"/>
                <w:szCs w:val="18"/>
              </w:rPr>
              <w:t>/</w:t>
            </w:r>
            <w:r>
              <w:rPr>
                <w:rFonts w:hint="eastAsia" w:ascii="宋体" w:hAnsi="宋体" w:eastAsia="宋体" w:cs="宋体"/>
                <w:kern w:val="0"/>
                <w:sz w:val="18"/>
                <w:szCs w:val="18"/>
              </w:rPr>
              <w:t>批准投资金额×</w:t>
            </w:r>
            <w:r>
              <w:rPr>
                <w:rFonts w:ascii="宋体" w:hAnsi="宋体" w:eastAsia="宋体" w:cs="宋体"/>
                <w:kern w:val="0"/>
                <w:sz w:val="18"/>
                <w:szCs w:val="18"/>
              </w:rPr>
              <w:t xml:space="preserve">100% </w:t>
            </w:r>
            <w:r>
              <w:rPr>
                <w:rFonts w:hint="eastAsia" w:ascii="宋体" w:hAnsi="宋体" w:eastAsia="宋体" w:cs="宋体"/>
                <w:kern w:val="0"/>
                <w:sz w:val="18"/>
                <w:szCs w:val="18"/>
              </w:rPr>
              <w:t>。</w:t>
            </w:r>
            <w:r>
              <w:rPr>
                <w:rFonts w:ascii="宋体" w:hAnsi="宋体" w:eastAsia="宋体" w:cs="宋体"/>
                <w:kern w:val="0"/>
                <w:sz w:val="18"/>
                <w:szCs w:val="18"/>
              </w:rPr>
              <w:br w:type="textWrapping"/>
            </w:r>
            <w:r>
              <w:rPr>
                <w:rFonts w:hint="eastAsia" w:ascii="宋体" w:hAnsi="宋体" w:eastAsia="宋体" w:cs="宋体"/>
                <w:kern w:val="0"/>
                <w:sz w:val="18"/>
                <w:szCs w:val="18"/>
              </w:rPr>
              <w:t>该指标以当年完工的新建楼堂馆所为评价内容。</w:t>
            </w:r>
          </w:p>
        </w:tc>
        <w:tc>
          <w:tcPr>
            <w:tcW w:w="875" w:type="dxa"/>
            <w:vAlign w:val="center"/>
          </w:tcPr>
          <w:p>
            <w:pPr>
              <w:spacing w:line="24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560" w:hRule="atLeast"/>
          <w:jc w:val="center"/>
        </w:trPr>
        <w:tc>
          <w:tcPr>
            <w:tcW w:w="503" w:type="dxa"/>
            <w:vMerge w:val="continue"/>
            <w:vAlign w:val="center"/>
          </w:tcPr>
          <w:p>
            <w:pPr>
              <w:spacing w:line="240" w:lineRule="exact"/>
              <w:jc w:val="left"/>
              <w:rPr>
                <w:rFonts w:ascii="宋体" w:hAnsi="宋体" w:eastAsia="宋体" w:cs="宋体"/>
                <w:kern w:val="0"/>
                <w:sz w:val="18"/>
                <w:szCs w:val="18"/>
              </w:rPr>
            </w:pPr>
          </w:p>
        </w:tc>
        <w:tc>
          <w:tcPr>
            <w:tcW w:w="503" w:type="dxa"/>
            <w:vMerge w:val="continue"/>
            <w:vAlign w:val="center"/>
          </w:tcPr>
          <w:p>
            <w:pPr>
              <w:spacing w:line="240" w:lineRule="exact"/>
              <w:jc w:val="left"/>
              <w:rPr>
                <w:rFonts w:ascii="宋体" w:hAnsi="宋体" w:eastAsia="宋体" w:cs="宋体"/>
                <w:kern w:val="0"/>
                <w:sz w:val="18"/>
                <w:szCs w:val="18"/>
              </w:rPr>
            </w:pPr>
          </w:p>
        </w:tc>
        <w:tc>
          <w:tcPr>
            <w:tcW w:w="503" w:type="dxa"/>
            <w:gridSpan w:val="2"/>
            <w:vMerge w:val="restart"/>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预算管理</w:t>
            </w:r>
          </w:p>
        </w:tc>
        <w:tc>
          <w:tcPr>
            <w:tcW w:w="503" w:type="dxa"/>
            <w:gridSpan w:val="2"/>
            <w:vMerge w:val="restart"/>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40</w:t>
            </w:r>
          </w:p>
        </w:tc>
        <w:tc>
          <w:tcPr>
            <w:tcW w:w="783" w:type="dxa"/>
            <w:gridSpan w:val="2"/>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公用经费控制率</w:t>
            </w:r>
          </w:p>
        </w:tc>
        <w:tc>
          <w:tcPr>
            <w:tcW w:w="517" w:type="dxa"/>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8</w:t>
            </w:r>
          </w:p>
        </w:tc>
        <w:tc>
          <w:tcPr>
            <w:tcW w:w="2483" w:type="dxa"/>
            <w:gridSpan w:val="4"/>
            <w:vAlign w:val="center"/>
          </w:tcPr>
          <w:p>
            <w:pPr>
              <w:spacing w:line="240" w:lineRule="exact"/>
              <w:jc w:val="left"/>
              <w:rPr>
                <w:rFonts w:ascii="宋体" w:hAnsi="宋体" w:eastAsia="宋体" w:cs="宋体"/>
                <w:kern w:val="0"/>
                <w:sz w:val="18"/>
                <w:szCs w:val="18"/>
              </w:rPr>
            </w:pPr>
            <w:r>
              <w:rPr>
                <w:rFonts w:ascii="宋体" w:hAnsi="宋体" w:eastAsia="宋体" w:cs="宋体"/>
                <w:kern w:val="0"/>
                <w:sz w:val="18"/>
                <w:szCs w:val="18"/>
              </w:rPr>
              <w:t>100%</w:t>
            </w:r>
            <w:r>
              <w:rPr>
                <w:rFonts w:hint="eastAsia" w:ascii="宋体" w:hAnsi="宋体" w:eastAsia="宋体" w:cs="宋体"/>
                <w:kern w:val="0"/>
                <w:sz w:val="18"/>
                <w:szCs w:val="18"/>
              </w:rPr>
              <w:t>以下（含）计满分，每超出</w:t>
            </w:r>
            <w:r>
              <w:rPr>
                <w:rFonts w:ascii="宋体" w:hAnsi="宋体" w:eastAsia="宋体" w:cs="宋体"/>
                <w:kern w:val="0"/>
                <w:sz w:val="18"/>
                <w:szCs w:val="18"/>
              </w:rPr>
              <w:t>1%</w:t>
            </w:r>
            <w:r>
              <w:rPr>
                <w:rFonts w:hint="eastAsia" w:ascii="宋体" w:hAnsi="宋体" w:eastAsia="宋体" w:cs="宋体"/>
                <w:kern w:val="0"/>
                <w:sz w:val="18"/>
                <w:szCs w:val="18"/>
              </w:rPr>
              <w:t>扣</w:t>
            </w:r>
            <w:r>
              <w:rPr>
                <w:rFonts w:ascii="宋体" w:hAnsi="宋体" w:eastAsia="宋体" w:cs="宋体"/>
                <w:kern w:val="0"/>
                <w:sz w:val="18"/>
                <w:szCs w:val="18"/>
              </w:rPr>
              <w:t>1</w:t>
            </w:r>
            <w:r>
              <w:rPr>
                <w:rFonts w:hint="eastAsia" w:ascii="宋体" w:hAnsi="宋体" w:eastAsia="宋体" w:cs="宋体"/>
                <w:kern w:val="0"/>
                <w:sz w:val="18"/>
                <w:szCs w:val="18"/>
              </w:rPr>
              <w:t>分，扣完为止。</w:t>
            </w:r>
          </w:p>
        </w:tc>
        <w:tc>
          <w:tcPr>
            <w:tcW w:w="2673" w:type="dxa"/>
            <w:gridSpan w:val="3"/>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公用经费控制率</w:t>
            </w:r>
            <w:r>
              <w:rPr>
                <w:rFonts w:ascii="宋体" w:hAnsi="宋体" w:eastAsia="宋体" w:cs="宋体"/>
                <w:kern w:val="0"/>
                <w:sz w:val="18"/>
                <w:szCs w:val="18"/>
              </w:rPr>
              <w:t>=</w:t>
            </w:r>
            <w:r>
              <w:rPr>
                <w:rFonts w:hint="eastAsia" w:ascii="宋体" w:hAnsi="宋体" w:eastAsia="宋体" w:cs="宋体"/>
                <w:kern w:val="0"/>
                <w:sz w:val="18"/>
                <w:szCs w:val="18"/>
              </w:rPr>
              <w:t>（实际支出公用经费总额</w:t>
            </w:r>
            <w:r>
              <w:rPr>
                <w:rFonts w:ascii="宋体" w:hAnsi="宋体" w:eastAsia="宋体" w:cs="宋体"/>
                <w:kern w:val="0"/>
                <w:sz w:val="18"/>
                <w:szCs w:val="18"/>
              </w:rPr>
              <w:t>/</w:t>
            </w:r>
            <w:r>
              <w:rPr>
                <w:rFonts w:hint="eastAsia" w:ascii="宋体" w:hAnsi="宋体" w:eastAsia="宋体" w:cs="宋体"/>
                <w:kern w:val="0"/>
                <w:sz w:val="18"/>
                <w:szCs w:val="18"/>
              </w:rPr>
              <w:t>预算安排公用经费总额）×</w:t>
            </w:r>
            <w:r>
              <w:rPr>
                <w:rFonts w:ascii="宋体" w:hAnsi="宋体" w:eastAsia="宋体" w:cs="宋体"/>
                <w:kern w:val="0"/>
                <w:sz w:val="18"/>
                <w:szCs w:val="18"/>
              </w:rPr>
              <w:t>100%</w:t>
            </w:r>
            <w:r>
              <w:rPr>
                <w:rFonts w:hint="eastAsia" w:ascii="宋体" w:hAnsi="宋体" w:eastAsia="宋体" w:cs="宋体"/>
                <w:kern w:val="0"/>
                <w:sz w:val="18"/>
                <w:szCs w:val="18"/>
              </w:rPr>
              <w:t>。</w:t>
            </w:r>
            <w:r>
              <w:rPr>
                <w:rFonts w:ascii="宋体" w:hAnsi="宋体" w:eastAsia="宋体" w:cs="宋体"/>
                <w:kern w:val="0"/>
                <w:sz w:val="18"/>
                <w:szCs w:val="18"/>
              </w:rPr>
              <w:br w:type="textWrapping"/>
            </w:r>
            <w:r>
              <w:rPr>
                <w:rFonts w:hint="eastAsia" w:ascii="宋体" w:hAnsi="宋体" w:eastAsia="宋体" w:cs="宋体"/>
                <w:kern w:val="0"/>
                <w:sz w:val="18"/>
                <w:szCs w:val="18"/>
              </w:rPr>
              <w:t>公用经费支出是指部门基本支出中的一般商品和服务支出。</w:t>
            </w:r>
          </w:p>
        </w:tc>
        <w:tc>
          <w:tcPr>
            <w:tcW w:w="875" w:type="dxa"/>
            <w:vAlign w:val="center"/>
          </w:tcPr>
          <w:p>
            <w:pPr>
              <w:spacing w:line="24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560" w:hRule="atLeast"/>
          <w:jc w:val="center"/>
        </w:trPr>
        <w:tc>
          <w:tcPr>
            <w:tcW w:w="503" w:type="dxa"/>
            <w:vMerge w:val="continue"/>
            <w:vAlign w:val="center"/>
          </w:tcPr>
          <w:p>
            <w:pPr>
              <w:spacing w:line="240" w:lineRule="exact"/>
              <w:jc w:val="left"/>
              <w:rPr>
                <w:rFonts w:ascii="宋体" w:hAnsi="宋体" w:eastAsia="宋体" w:cs="宋体"/>
                <w:kern w:val="0"/>
                <w:sz w:val="18"/>
                <w:szCs w:val="18"/>
              </w:rPr>
            </w:pPr>
          </w:p>
        </w:tc>
        <w:tc>
          <w:tcPr>
            <w:tcW w:w="503" w:type="dxa"/>
            <w:vMerge w:val="continue"/>
            <w:vAlign w:val="center"/>
          </w:tcPr>
          <w:p>
            <w:pPr>
              <w:spacing w:line="240" w:lineRule="exact"/>
              <w:jc w:val="left"/>
              <w:rPr>
                <w:rFonts w:ascii="宋体" w:hAnsi="宋体" w:eastAsia="宋体" w:cs="宋体"/>
                <w:kern w:val="0"/>
                <w:sz w:val="18"/>
                <w:szCs w:val="18"/>
              </w:rPr>
            </w:pPr>
          </w:p>
        </w:tc>
        <w:tc>
          <w:tcPr>
            <w:tcW w:w="503" w:type="dxa"/>
            <w:gridSpan w:val="2"/>
            <w:vMerge w:val="continue"/>
            <w:vAlign w:val="center"/>
          </w:tcPr>
          <w:p>
            <w:pPr>
              <w:spacing w:line="240" w:lineRule="exact"/>
              <w:jc w:val="left"/>
              <w:rPr>
                <w:rFonts w:ascii="宋体" w:hAnsi="宋体" w:eastAsia="宋体" w:cs="宋体"/>
                <w:kern w:val="0"/>
                <w:sz w:val="18"/>
                <w:szCs w:val="18"/>
              </w:rPr>
            </w:pPr>
          </w:p>
        </w:tc>
        <w:tc>
          <w:tcPr>
            <w:tcW w:w="503" w:type="dxa"/>
            <w:gridSpan w:val="2"/>
            <w:vMerge w:val="continue"/>
            <w:vAlign w:val="center"/>
          </w:tcPr>
          <w:p>
            <w:pPr>
              <w:spacing w:line="240" w:lineRule="exact"/>
              <w:jc w:val="left"/>
              <w:rPr>
                <w:rFonts w:ascii="宋体" w:hAnsi="宋体" w:eastAsia="宋体" w:cs="宋体"/>
                <w:kern w:val="0"/>
                <w:sz w:val="18"/>
                <w:szCs w:val="18"/>
              </w:rPr>
            </w:pPr>
          </w:p>
        </w:tc>
        <w:tc>
          <w:tcPr>
            <w:tcW w:w="783" w:type="dxa"/>
            <w:gridSpan w:val="2"/>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“三公经费”控制率</w:t>
            </w:r>
          </w:p>
        </w:tc>
        <w:tc>
          <w:tcPr>
            <w:tcW w:w="517" w:type="dxa"/>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7</w:t>
            </w:r>
          </w:p>
        </w:tc>
        <w:tc>
          <w:tcPr>
            <w:tcW w:w="2483" w:type="dxa"/>
            <w:gridSpan w:val="4"/>
            <w:vAlign w:val="center"/>
          </w:tcPr>
          <w:p>
            <w:pPr>
              <w:spacing w:line="240" w:lineRule="exact"/>
              <w:jc w:val="left"/>
              <w:rPr>
                <w:rFonts w:ascii="宋体" w:hAnsi="宋体" w:eastAsia="宋体" w:cs="宋体"/>
                <w:kern w:val="0"/>
                <w:sz w:val="18"/>
                <w:szCs w:val="18"/>
              </w:rPr>
            </w:pPr>
            <w:r>
              <w:rPr>
                <w:rFonts w:ascii="宋体" w:hAnsi="宋体" w:eastAsia="宋体" w:cs="宋体"/>
                <w:kern w:val="0"/>
                <w:sz w:val="18"/>
                <w:szCs w:val="18"/>
              </w:rPr>
              <w:t>100%</w:t>
            </w:r>
            <w:r>
              <w:rPr>
                <w:rFonts w:hint="eastAsia" w:ascii="宋体" w:hAnsi="宋体" w:eastAsia="宋体" w:cs="宋体"/>
                <w:kern w:val="0"/>
                <w:sz w:val="18"/>
                <w:szCs w:val="18"/>
              </w:rPr>
              <w:t>以下（含）计满分，每超出</w:t>
            </w:r>
            <w:r>
              <w:rPr>
                <w:rFonts w:ascii="宋体" w:hAnsi="宋体" w:eastAsia="宋体" w:cs="宋体"/>
                <w:kern w:val="0"/>
                <w:sz w:val="18"/>
                <w:szCs w:val="18"/>
              </w:rPr>
              <w:t>1%</w:t>
            </w:r>
            <w:r>
              <w:rPr>
                <w:rFonts w:hint="eastAsia" w:ascii="宋体" w:hAnsi="宋体" w:eastAsia="宋体" w:cs="宋体"/>
                <w:kern w:val="0"/>
                <w:sz w:val="18"/>
                <w:szCs w:val="18"/>
              </w:rPr>
              <w:t>扣</w:t>
            </w:r>
            <w:r>
              <w:rPr>
                <w:rFonts w:ascii="宋体" w:hAnsi="宋体" w:eastAsia="宋体" w:cs="宋体"/>
                <w:kern w:val="0"/>
                <w:sz w:val="18"/>
                <w:szCs w:val="18"/>
              </w:rPr>
              <w:t>1</w:t>
            </w:r>
            <w:r>
              <w:rPr>
                <w:rFonts w:hint="eastAsia" w:ascii="宋体" w:hAnsi="宋体" w:eastAsia="宋体" w:cs="宋体"/>
                <w:kern w:val="0"/>
                <w:sz w:val="18"/>
                <w:szCs w:val="18"/>
              </w:rPr>
              <w:t>分，扣完为止。</w:t>
            </w:r>
          </w:p>
        </w:tc>
        <w:tc>
          <w:tcPr>
            <w:tcW w:w="2673" w:type="dxa"/>
            <w:gridSpan w:val="3"/>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“三公经费”控制率</w:t>
            </w:r>
            <w:r>
              <w:rPr>
                <w:rFonts w:ascii="宋体" w:hAnsi="宋体" w:eastAsia="宋体" w:cs="宋体"/>
                <w:kern w:val="0"/>
                <w:sz w:val="18"/>
                <w:szCs w:val="18"/>
              </w:rPr>
              <w:t>=</w:t>
            </w:r>
            <w:r>
              <w:rPr>
                <w:rFonts w:hint="eastAsia" w:ascii="宋体" w:hAnsi="宋体" w:eastAsia="宋体" w:cs="宋体"/>
                <w:kern w:val="0"/>
                <w:sz w:val="18"/>
                <w:szCs w:val="18"/>
              </w:rPr>
              <w:t>（“三公经费”实际支出数</w:t>
            </w:r>
            <w:r>
              <w:rPr>
                <w:rFonts w:ascii="宋体" w:hAnsi="宋体" w:eastAsia="宋体" w:cs="宋体"/>
                <w:kern w:val="0"/>
                <w:sz w:val="18"/>
                <w:szCs w:val="18"/>
              </w:rPr>
              <w:t>/</w:t>
            </w:r>
            <w:r>
              <w:rPr>
                <w:rFonts w:hint="eastAsia" w:ascii="宋体" w:hAnsi="宋体" w:eastAsia="宋体" w:cs="宋体"/>
                <w:kern w:val="0"/>
                <w:sz w:val="18"/>
                <w:szCs w:val="18"/>
              </w:rPr>
              <w:t>“三公经费”预算安排数）×</w:t>
            </w:r>
            <w:r>
              <w:rPr>
                <w:rFonts w:ascii="宋体" w:hAnsi="宋体" w:eastAsia="宋体" w:cs="宋体"/>
                <w:kern w:val="0"/>
                <w:sz w:val="18"/>
                <w:szCs w:val="18"/>
              </w:rPr>
              <w:t>100%</w:t>
            </w:r>
            <w:r>
              <w:rPr>
                <w:rFonts w:hint="eastAsia" w:ascii="宋体" w:hAnsi="宋体" w:eastAsia="宋体" w:cs="宋体"/>
                <w:kern w:val="0"/>
                <w:sz w:val="18"/>
                <w:szCs w:val="18"/>
              </w:rPr>
              <w:t>。</w:t>
            </w:r>
          </w:p>
        </w:tc>
        <w:tc>
          <w:tcPr>
            <w:tcW w:w="875" w:type="dxa"/>
            <w:vAlign w:val="center"/>
          </w:tcPr>
          <w:p>
            <w:pPr>
              <w:spacing w:line="24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560" w:hRule="atLeast"/>
          <w:jc w:val="center"/>
        </w:trPr>
        <w:tc>
          <w:tcPr>
            <w:tcW w:w="503" w:type="dxa"/>
            <w:vMerge w:val="continue"/>
            <w:vAlign w:val="center"/>
          </w:tcPr>
          <w:p>
            <w:pPr>
              <w:spacing w:line="240" w:lineRule="exact"/>
              <w:jc w:val="left"/>
              <w:rPr>
                <w:rFonts w:ascii="宋体" w:hAnsi="宋体" w:eastAsia="宋体" w:cs="宋体"/>
                <w:kern w:val="0"/>
                <w:sz w:val="18"/>
                <w:szCs w:val="18"/>
              </w:rPr>
            </w:pPr>
          </w:p>
        </w:tc>
        <w:tc>
          <w:tcPr>
            <w:tcW w:w="503" w:type="dxa"/>
            <w:vMerge w:val="continue"/>
            <w:vAlign w:val="center"/>
          </w:tcPr>
          <w:p>
            <w:pPr>
              <w:spacing w:line="240" w:lineRule="exact"/>
              <w:jc w:val="left"/>
              <w:rPr>
                <w:rFonts w:ascii="宋体" w:hAnsi="宋体" w:eastAsia="宋体" w:cs="宋体"/>
                <w:kern w:val="0"/>
                <w:sz w:val="18"/>
                <w:szCs w:val="18"/>
              </w:rPr>
            </w:pPr>
          </w:p>
        </w:tc>
        <w:tc>
          <w:tcPr>
            <w:tcW w:w="503" w:type="dxa"/>
            <w:gridSpan w:val="2"/>
            <w:vMerge w:val="continue"/>
            <w:vAlign w:val="center"/>
          </w:tcPr>
          <w:p>
            <w:pPr>
              <w:spacing w:line="240" w:lineRule="exact"/>
              <w:jc w:val="left"/>
              <w:rPr>
                <w:rFonts w:ascii="宋体" w:hAnsi="宋体" w:eastAsia="宋体" w:cs="宋体"/>
                <w:kern w:val="0"/>
                <w:sz w:val="18"/>
                <w:szCs w:val="18"/>
              </w:rPr>
            </w:pPr>
          </w:p>
        </w:tc>
        <w:tc>
          <w:tcPr>
            <w:tcW w:w="503" w:type="dxa"/>
            <w:gridSpan w:val="2"/>
            <w:vMerge w:val="continue"/>
            <w:vAlign w:val="center"/>
          </w:tcPr>
          <w:p>
            <w:pPr>
              <w:spacing w:line="240" w:lineRule="exact"/>
              <w:jc w:val="left"/>
              <w:rPr>
                <w:rFonts w:ascii="宋体" w:hAnsi="宋体" w:eastAsia="宋体" w:cs="宋体"/>
                <w:kern w:val="0"/>
                <w:sz w:val="18"/>
                <w:szCs w:val="18"/>
              </w:rPr>
            </w:pPr>
          </w:p>
        </w:tc>
        <w:tc>
          <w:tcPr>
            <w:tcW w:w="783" w:type="dxa"/>
            <w:gridSpan w:val="2"/>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政府采购执行率</w:t>
            </w:r>
          </w:p>
        </w:tc>
        <w:tc>
          <w:tcPr>
            <w:tcW w:w="517" w:type="dxa"/>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6</w:t>
            </w:r>
          </w:p>
        </w:tc>
        <w:tc>
          <w:tcPr>
            <w:tcW w:w="2483" w:type="dxa"/>
            <w:gridSpan w:val="4"/>
            <w:vAlign w:val="center"/>
          </w:tcPr>
          <w:p>
            <w:pPr>
              <w:spacing w:line="240" w:lineRule="exact"/>
              <w:jc w:val="left"/>
              <w:rPr>
                <w:rFonts w:ascii="宋体" w:hAnsi="宋体" w:eastAsia="宋体" w:cs="宋体"/>
                <w:kern w:val="0"/>
                <w:sz w:val="18"/>
                <w:szCs w:val="18"/>
              </w:rPr>
            </w:pPr>
            <w:r>
              <w:rPr>
                <w:rFonts w:ascii="宋体" w:hAnsi="宋体" w:eastAsia="宋体" w:cs="宋体"/>
                <w:kern w:val="0"/>
                <w:sz w:val="18"/>
                <w:szCs w:val="18"/>
              </w:rPr>
              <w:t>100%</w:t>
            </w:r>
            <w:r>
              <w:rPr>
                <w:rFonts w:hint="eastAsia" w:ascii="宋体" w:hAnsi="宋体" w:eastAsia="宋体" w:cs="宋体"/>
                <w:kern w:val="0"/>
                <w:sz w:val="18"/>
                <w:szCs w:val="18"/>
              </w:rPr>
              <w:t>计满分，每超过（降低）</w:t>
            </w:r>
            <w:r>
              <w:rPr>
                <w:rFonts w:ascii="宋体" w:hAnsi="宋体" w:eastAsia="宋体" w:cs="宋体"/>
                <w:kern w:val="0"/>
                <w:sz w:val="18"/>
                <w:szCs w:val="18"/>
              </w:rPr>
              <w:t>5%</w:t>
            </w:r>
            <w:r>
              <w:rPr>
                <w:rFonts w:hint="eastAsia" w:ascii="宋体" w:hAnsi="宋体" w:eastAsia="宋体" w:cs="宋体"/>
                <w:kern w:val="0"/>
                <w:sz w:val="18"/>
                <w:szCs w:val="18"/>
              </w:rPr>
              <w:t>扣</w:t>
            </w:r>
            <w:r>
              <w:rPr>
                <w:rFonts w:ascii="宋体" w:hAnsi="宋体" w:eastAsia="宋体" w:cs="宋体"/>
                <w:kern w:val="0"/>
                <w:sz w:val="18"/>
                <w:szCs w:val="18"/>
              </w:rPr>
              <w:t>2</w:t>
            </w:r>
            <w:r>
              <w:rPr>
                <w:rFonts w:hint="eastAsia" w:ascii="宋体" w:hAnsi="宋体" w:eastAsia="宋体" w:cs="宋体"/>
                <w:kern w:val="0"/>
                <w:sz w:val="18"/>
                <w:szCs w:val="18"/>
              </w:rPr>
              <w:t>分。扣完为止。</w:t>
            </w:r>
          </w:p>
        </w:tc>
        <w:tc>
          <w:tcPr>
            <w:tcW w:w="2673" w:type="dxa"/>
            <w:gridSpan w:val="3"/>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政府采购执行率</w:t>
            </w:r>
            <w:r>
              <w:rPr>
                <w:rFonts w:ascii="宋体" w:hAnsi="宋体" w:eastAsia="宋体" w:cs="宋体"/>
                <w:kern w:val="0"/>
                <w:sz w:val="18"/>
                <w:szCs w:val="18"/>
              </w:rPr>
              <w:t>=</w:t>
            </w:r>
            <w:r>
              <w:rPr>
                <w:rFonts w:hint="eastAsia" w:ascii="宋体" w:hAnsi="宋体" w:eastAsia="宋体" w:cs="宋体"/>
                <w:kern w:val="0"/>
                <w:sz w:val="18"/>
                <w:szCs w:val="18"/>
              </w:rPr>
              <w:t>（实际政府采购金额</w:t>
            </w:r>
            <w:r>
              <w:rPr>
                <w:rFonts w:ascii="宋体" w:hAnsi="宋体" w:eastAsia="宋体" w:cs="宋体"/>
                <w:kern w:val="0"/>
                <w:sz w:val="18"/>
                <w:szCs w:val="18"/>
              </w:rPr>
              <w:t>/</w:t>
            </w:r>
            <w:r>
              <w:rPr>
                <w:rFonts w:hint="eastAsia" w:ascii="宋体" w:hAnsi="宋体" w:eastAsia="宋体" w:cs="宋体"/>
                <w:kern w:val="0"/>
                <w:sz w:val="18"/>
                <w:szCs w:val="18"/>
              </w:rPr>
              <w:t>政府采购预算数）×</w:t>
            </w:r>
            <w:r>
              <w:rPr>
                <w:rFonts w:ascii="宋体" w:hAnsi="宋体" w:eastAsia="宋体" w:cs="宋体"/>
                <w:kern w:val="0"/>
                <w:sz w:val="18"/>
                <w:szCs w:val="18"/>
              </w:rPr>
              <w:t>100%</w:t>
            </w:r>
          </w:p>
        </w:tc>
        <w:tc>
          <w:tcPr>
            <w:tcW w:w="875" w:type="dxa"/>
            <w:vAlign w:val="center"/>
          </w:tcPr>
          <w:p>
            <w:pPr>
              <w:spacing w:line="240" w:lineRule="exact"/>
              <w:jc w:val="center"/>
              <w:rPr>
                <w:rFonts w:ascii="宋体" w:hAnsi="宋体" w:eastAsia="宋体" w:cs="宋体"/>
                <w:color w:val="000000"/>
                <w:kern w:val="0"/>
                <w:sz w:val="18"/>
                <w:szCs w:val="18"/>
              </w:rPr>
            </w:pPr>
            <w:r>
              <w:rPr>
                <w:rFonts w:ascii="宋体" w:hAnsi="宋体" w:eastAsia="宋体" w:cs="宋体"/>
                <w:kern w:val="0"/>
                <w:sz w:val="18"/>
                <w:szCs w:val="18"/>
              </w:rPr>
              <w:t>0</w:t>
            </w:r>
            <w:r>
              <w:rPr>
                <w:rFonts w:hint="eastAsia" w:ascii="宋体" w:hAnsi="宋体" w:eastAsia="宋体" w:cs="宋体"/>
                <w:kern w:val="0"/>
                <w:sz w:val="18"/>
                <w:szCs w:val="18"/>
              </w:rPr>
              <w:t>　</w:t>
            </w:r>
            <w:r>
              <w:rPr>
                <w:rFonts w:ascii="宋体" w:hAnsi="宋体" w:eastAsia="宋体" w:cs="宋体"/>
                <w:kern w:val="0"/>
                <w:sz w:val="18"/>
                <w:szCs w:val="18"/>
                <w:shd w:val="clear" w:color="auto" w:fill="FFFFFF"/>
              </w:rPr>
              <w:fldChar w:fldCharType="begin">
                <w:fldData xml:space="preserve">QQAyADgAOAA0ADIANgBBAEUANwBDADYANABEADMARABCADQAQgA1ADEAQgAzAEIAQgBBAEIARAAy
ADcARQAzAP8A
</w:fldData>
              </w:fldChar>
            </w:r>
            <w:r>
              <w:rPr>
                <w:rFonts w:ascii="宋体" w:hAnsi="宋体" w:eastAsia="宋体" w:cs="宋体"/>
                <w:kern w:val="0"/>
                <w:sz w:val="18"/>
                <w:szCs w:val="18"/>
                <w:shd w:val="clear" w:color="auto" w:fill="FFFFFF"/>
              </w:rPr>
              <w:instrText xml:space="preserve">Addin PF9</w:instrText>
            </w:r>
            <w:r>
              <w:rPr>
                <w:rFonts w:ascii="宋体" w:hAnsi="宋体" w:eastAsia="宋体" w:cs="宋体"/>
                <w:kern w:val="0"/>
                <w:sz w:val="18"/>
                <w:szCs w:val="18"/>
                <w:shd w:val="clear" w:color="auto" w:fill="FFFFFF"/>
              </w:rPr>
              <w:fldChar w:fldCharType="end"/>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016" w:hRule="atLeast"/>
          <w:jc w:val="center"/>
        </w:trPr>
        <w:tc>
          <w:tcPr>
            <w:tcW w:w="503" w:type="dxa"/>
            <w:vMerge w:val="continue"/>
            <w:vAlign w:val="center"/>
          </w:tcPr>
          <w:p>
            <w:pPr>
              <w:spacing w:line="280" w:lineRule="exact"/>
              <w:jc w:val="center"/>
              <w:rPr>
                <w:rFonts w:ascii="宋体" w:hAnsi="宋体" w:eastAsia="宋体" w:cs="宋体"/>
                <w:kern w:val="0"/>
                <w:sz w:val="18"/>
                <w:szCs w:val="18"/>
              </w:rPr>
            </w:pPr>
          </w:p>
        </w:tc>
        <w:tc>
          <w:tcPr>
            <w:tcW w:w="503" w:type="dxa"/>
            <w:vMerge w:val="continue"/>
            <w:vAlign w:val="center"/>
          </w:tcPr>
          <w:p>
            <w:pPr>
              <w:spacing w:line="280" w:lineRule="exact"/>
              <w:jc w:val="left"/>
              <w:rPr>
                <w:rFonts w:ascii="宋体" w:hAnsi="宋体" w:eastAsia="宋体" w:cs="宋体"/>
                <w:kern w:val="0"/>
                <w:sz w:val="18"/>
                <w:szCs w:val="18"/>
              </w:rPr>
            </w:pPr>
          </w:p>
        </w:tc>
        <w:tc>
          <w:tcPr>
            <w:tcW w:w="503" w:type="dxa"/>
            <w:gridSpan w:val="2"/>
            <w:vMerge w:val="continue"/>
            <w:vAlign w:val="center"/>
          </w:tcPr>
          <w:p>
            <w:pPr>
              <w:spacing w:line="280" w:lineRule="exact"/>
              <w:jc w:val="left"/>
              <w:rPr>
                <w:rFonts w:ascii="宋体" w:hAnsi="宋体" w:eastAsia="宋体" w:cs="宋体"/>
                <w:kern w:val="0"/>
                <w:sz w:val="18"/>
                <w:szCs w:val="18"/>
              </w:rPr>
            </w:pPr>
          </w:p>
        </w:tc>
        <w:tc>
          <w:tcPr>
            <w:tcW w:w="503" w:type="dxa"/>
            <w:gridSpan w:val="2"/>
            <w:vMerge w:val="continue"/>
            <w:vAlign w:val="center"/>
          </w:tcPr>
          <w:p>
            <w:pPr>
              <w:spacing w:line="280" w:lineRule="exact"/>
              <w:jc w:val="left"/>
              <w:rPr>
                <w:rFonts w:ascii="宋体" w:hAnsi="宋体" w:eastAsia="宋体" w:cs="宋体"/>
                <w:kern w:val="0"/>
                <w:sz w:val="18"/>
                <w:szCs w:val="18"/>
              </w:rPr>
            </w:pPr>
          </w:p>
        </w:tc>
        <w:tc>
          <w:tcPr>
            <w:tcW w:w="783" w:type="dxa"/>
            <w:gridSpan w:val="2"/>
            <w:vAlign w:val="center"/>
          </w:tcPr>
          <w:p>
            <w:pPr>
              <w:spacing w:line="280" w:lineRule="exact"/>
              <w:jc w:val="center"/>
              <w:rPr>
                <w:rFonts w:ascii="宋体" w:hAnsi="宋体" w:eastAsia="宋体" w:cs="宋体"/>
                <w:kern w:val="0"/>
                <w:sz w:val="18"/>
                <w:szCs w:val="18"/>
              </w:rPr>
            </w:pPr>
            <w:r>
              <w:rPr>
                <w:rFonts w:hint="eastAsia" w:ascii="宋体" w:hAnsi="宋体" w:eastAsia="宋体" w:cs="宋体"/>
                <w:kern w:val="0"/>
                <w:sz w:val="18"/>
                <w:szCs w:val="18"/>
              </w:rPr>
              <w:t>管理制度健全性</w:t>
            </w:r>
          </w:p>
        </w:tc>
        <w:tc>
          <w:tcPr>
            <w:tcW w:w="517" w:type="dxa"/>
            <w:vAlign w:val="center"/>
          </w:tcPr>
          <w:p>
            <w:pPr>
              <w:spacing w:line="280" w:lineRule="exact"/>
              <w:jc w:val="center"/>
              <w:rPr>
                <w:rFonts w:ascii="宋体" w:hAnsi="宋体" w:eastAsia="宋体" w:cs="宋体"/>
                <w:kern w:val="0"/>
                <w:sz w:val="18"/>
                <w:szCs w:val="18"/>
              </w:rPr>
            </w:pPr>
            <w:r>
              <w:rPr>
                <w:rFonts w:ascii="宋体" w:hAnsi="宋体" w:eastAsia="宋体" w:cs="宋体"/>
                <w:kern w:val="0"/>
                <w:sz w:val="18"/>
                <w:szCs w:val="18"/>
              </w:rPr>
              <w:t>8</w:t>
            </w:r>
          </w:p>
        </w:tc>
        <w:tc>
          <w:tcPr>
            <w:tcW w:w="2483" w:type="dxa"/>
            <w:gridSpan w:val="4"/>
            <w:vAlign w:val="center"/>
          </w:tcPr>
          <w:p>
            <w:pPr>
              <w:spacing w:line="260" w:lineRule="exact"/>
              <w:jc w:val="left"/>
              <w:rPr>
                <w:rFonts w:ascii="宋体" w:hAnsi="宋体" w:eastAsia="宋体" w:cs="宋体"/>
                <w:kern w:val="0"/>
                <w:sz w:val="18"/>
                <w:szCs w:val="18"/>
              </w:rPr>
            </w:pPr>
            <w:r>
              <w:rPr>
                <w:rFonts w:hint="eastAsia" w:ascii="宋体" w:hAnsi="宋体" w:eastAsia="宋体" w:cs="宋体"/>
                <w:kern w:val="0"/>
                <w:sz w:val="18"/>
                <w:szCs w:val="18"/>
              </w:rPr>
              <w:t>①有内部财务管理制度、会计核算制度等管理制度，</w:t>
            </w:r>
            <w:r>
              <w:rPr>
                <w:rFonts w:ascii="宋体" w:hAnsi="宋体" w:eastAsia="宋体" w:cs="宋体"/>
                <w:kern w:val="0"/>
                <w:sz w:val="18"/>
                <w:szCs w:val="18"/>
              </w:rPr>
              <w:t>2</w:t>
            </w:r>
            <w:r>
              <w:rPr>
                <w:rFonts w:hint="eastAsia" w:ascii="宋体" w:hAnsi="宋体" w:eastAsia="宋体" w:cs="宋体"/>
                <w:kern w:val="0"/>
                <w:sz w:val="18"/>
                <w:szCs w:val="18"/>
              </w:rPr>
              <w:t>分；</w:t>
            </w:r>
            <w:r>
              <w:rPr>
                <w:rFonts w:ascii="宋体" w:hAnsi="宋体" w:eastAsia="宋体" w:cs="宋体"/>
                <w:kern w:val="0"/>
                <w:sz w:val="18"/>
                <w:szCs w:val="18"/>
              </w:rPr>
              <w:br w:type="textWrapping"/>
            </w:r>
            <w:r>
              <w:rPr>
                <w:rFonts w:hint="eastAsia" w:ascii="宋体" w:hAnsi="宋体" w:eastAsia="宋体" w:cs="宋体"/>
                <w:kern w:val="0"/>
                <w:sz w:val="18"/>
                <w:szCs w:val="18"/>
              </w:rPr>
              <w:t>②有本部门厉行节约制度</w:t>
            </w:r>
            <w:r>
              <w:rPr>
                <w:rFonts w:ascii="宋体" w:hAnsi="宋体" w:eastAsia="宋体" w:cs="宋体"/>
                <w:kern w:val="0"/>
                <w:sz w:val="18"/>
                <w:szCs w:val="18"/>
              </w:rPr>
              <w:t>,2</w:t>
            </w:r>
            <w:r>
              <w:rPr>
                <w:rFonts w:hint="eastAsia" w:ascii="宋体" w:hAnsi="宋体" w:eastAsia="宋体" w:cs="宋体"/>
                <w:kern w:val="0"/>
                <w:sz w:val="18"/>
                <w:szCs w:val="18"/>
              </w:rPr>
              <w:t>分；</w:t>
            </w:r>
            <w:r>
              <w:rPr>
                <w:rFonts w:ascii="宋体" w:hAnsi="宋体" w:eastAsia="宋体" w:cs="宋体"/>
                <w:kern w:val="0"/>
                <w:sz w:val="18"/>
                <w:szCs w:val="18"/>
              </w:rPr>
              <w:br w:type="textWrapping"/>
            </w:r>
            <w:r>
              <w:rPr>
                <w:rFonts w:hint="eastAsia" w:ascii="宋体" w:hAnsi="宋体" w:eastAsia="宋体" w:cs="宋体"/>
                <w:kern w:val="0"/>
                <w:sz w:val="18"/>
                <w:szCs w:val="18"/>
              </w:rPr>
              <w:t>③相关管理制度合法、合规、完整，</w:t>
            </w:r>
            <w:r>
              <w:rPr>
                <w:rFonts w:ascii="宋体" w:hAnsi="宋体" w:eastAsia="宋体" w:cs="宋体"/>
                <w:kern w:val="0"/>
                <w:sz w:val="18"/>
                <w:szCs w:val="18"/>
              </w:rPr>
              <w:t>2</w:t>
            </w:r>
            <w:r>
              <w:rPr>
                <w:rFonts w:hint="eastAsia" w:ascii="宋体" w:hAnsi="宋体" w:eastAsia="宋体" w:cs="宋体"/>
                <w:kern w:val="0"/>
                <w:sz w:val="18"/>
                <w:szCs w:val="18"/>
              </w:rPr>
              <w:t>分；④相关管理制度得到有效执行，</w:t>
            </w:r>
            <w:r>
              <w:rPr>
                <w:rFonts w:ascii="宋体" w:hAnsi="宋体" w:eastAsia="宋体" w:cs="宋体"/>
                <w:kern w:val="0"/>
                <w:sz w:val="18"/>
                <w:szCs w:val="18"/>
              </w:rPr>
              <w:t>2</w:t>
            </w:r>
            <w:r>
              <w:rPr>
                <w:rFonts w:hint="eastAsia" w:ascii="宋体" w:hAnsi="宋体" w:eastAsia="宋体" w:cs="宋体"/>
                <w:kern w:val="0"/>
                <w:sz w:val="18"/>
                <w:szCs w:val="18"/>
              </w:rPr>
              <w:t>分。</w:t>
            </w:r>
          </w:p>
        </w:tc>
        <w:tc>
          <w:tcPr>
            <w:tcW w:w="2673" w:type="dxa"/>
            <w:gridSpan w:val="3"/>
            <w:vAlign w:val="center"/>
          </w:tcPr>
          <w:p>
            <w:pPr>
              <w:spacing w:line="28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75" w:type="dxa"/>
            <w:vAlign w:val="center"/>
          </w:tcPr>
          <w:p>
            <w:pPr>
              <w:spacing w:line="28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485" w:hRule="atLeast"/>
          <w:jc w:val="center"/>
        </w:trPr>
        <w:tc>
          <w:tcPr>
            <w:tcW w:w="503" w:type="dxa"/>
            <w:vMerge w:val="restart"/>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过</w:t>
            </w:r>
          </w:p>
          <w:p>
            <w:pPr>
              <w:spacing w:line="240" w:lineRule="exact"/>
              <w:jc w:val="center"/>
              <w:rPr>
                <w:rFonts w:ascii="宋体" w:hAnsi="宋体" w:eastAsia="宋体" w:cs="宋体"/>
                <w:kern w:val="0"/>
                <w:sz w:val="18"/>
                <w:szCs w:val="18"/>
              </w:rPr>
            </w:pPr>
          </w:p>
          <w:p>
            <w:pPr>
              <w:spacing w:line="280" w:lineRule="exact"/>
              <w:jc w:val="center"/>
              <w:rPr>
                <w:rFonts w:ascii="宋体" w:hAnsi="宋体" w:eastAsia="宋体" w:cs="宋体"/>
                <w:kern w:val="0"/>
                <w:sz w:val="18"/>
                <w:szCs w:val="18"/>
              </w:rPr>
            </w:pPr>
            <w:r>
              <w:rPr>
                <w:rFonts w:hint="eastAsia" w:ascii="宋体" w:hAnsi="宋体" w:eastAsia="宋体" w:cs="宋体"/>
                <w:kern w:val="0"/>
                <w:sz w:val="18"/>
                <w:szCs w:val="18"/>
              </w:rPr>
              <w:t>程</w:t>
            </w:r>
          </w:p>
        </w:tc>
        <w:tc>
          <w:tcPr>
            <w:tcW w:w="503" w:type="dxa"/>
            <w:vMerge w:val="restart"/>
            <w:vAlign w:val="center"/>
          </w:tcPr>
          <w:p>
            <w:pPr>
              <w:spacing w:line="280" w:lineRule="exact"/>
              <w:jc w:val="center"/>
              <w:rPr>
                <w:rFonts w:ascii="宋体" w:hAnsi="宋体" w:eastAsia="宋体" w:cs="宋体"/>
                <w:kern w:val="0"/>
                <w:sz w:val="18"/>
                <w:szCs w:val="18"/>
              </w:rPr>
            </w:pPr>
            <w:r>
              <w:rPr>
                <w:rFonts w:ascii="宋体" w:hAnsi="宋体" w:eastAsia="宋体" w:cs="宋体"/>
                <w:kern w:val="0"/>
                <w:sz w:val="18"/>
                <w:szCs w:val="18"/>
              </w:rPr>
              <w:t>60</w:t>
            </w:r>
          </w:p>
        </w:tc>
        <w:tc>
          <w:tcPr>
            <w:tcW w:w="503" w:type="dxa"/>
            <w:gridSpan w:val="2"/>
            <w:vMerge w:val="restart"/>
            <w:vAlign w:val="center"/>
          </w:tcPr>
          <w:p>
            <w:pPr>
              <w:spacing w:line="280" w:lineRule="exact"/>
              <w:jc w:val="left"/>
              <w:rPr>
                <w:rFonts w:ascii="宋体" w:hAnsi="宋体" w:eastAsia="宋体" w:cs="宋体"/>
                <w:kern w:val="0"/>
                <w:sz w:val="18"/>
                <w:szCs w:val="18"/>
              </w:rPr>
            </w:pPr>
            <w:r>
              <w:rPr>
                <w:rFonts w:hint="eastAsia" w:ascii="宋体" w:hAnsi="宋体" w:eastAsia="宋体" w:cs="宋体"/>
                <w:kern w:val="0"/>
                <w:sz w:val="18"/>
                <w:szCs w:val="18"/>
              </w:rPr>
              <w:t>预算管理</w:t>
            </w:r>
          </w:p>
        </w:tc>
        <w:tc>
          <w:tcPr>
            <w:tcW w:w="503" w:type="dxa"/>
            <w:gridSpan w:val="2"/>
            <w:vMerge w:val="restart"/>
            <w:vAlign w:val="center"/>
          </w:tcPr>
          <w:p>
            <w:pPr>
              <w:spacing w:line="280" w:lineRule="exact"/>
              <w:jc w:val="center"/>
              <w:rPr>
                <w:rFonts w:ascii="宋体" w:hAnsi="宋体" w:eastAsia="宋体" w:cs="宋体"/>
                <w:kern w:val="0"/>
                <w:sz w:val="18"/>
                <w:szCs w:val="18"/>
              </w:rPr>
            </w:pPr>
            <w:r>
              <w:rPr>
                <w:rFonts w:ascii="宋体" w:hAnsi="宋体" w:eastAsia="宋体" w:cs="宋体"/>
                <w:kern w:val="0"/>
                <w:sz w:val="18"/>
                <w:szCs w:val="18"/>
              </w:rPr>
              <w:t>40</w:t>
            </w:r>
          </w:p>
        </w:tc>
        <w:tc>
          <w:tcPr>
            <w:tcW w:w="783" w:type="dxa"/>
            <w:gridSpan w:val="2"/>
            <w:vAlign w:val="center"/>
          </w:tcPr>
          <w:p>
            <w:pPr>
              <w:spacing w:line="280" w:lineRule="exact"/>
              <w:jc w:val="center"/>
              <w:rPr>
                <w:rFonts w:ascii="宋体" w:hAnsi="宋体" w:eastAsia="宋体" w:cs="宋体"/>
                <w:kern w:val="0"/>
                <w:sz w:val="18"/>
                <w:szCs w:val="18"/>
              </w:rPr>
            </w:pPr>
            <w:r>
              <w:rPr>
                <w:rFonts w:hint="eastAsia" w:ascii="宋体" w:hAnsi="宋体" w:eastAsia="宋体" w:cs="宋体"/>
                <w:kern w:val="0"/>
                <w:sz w:val="18"/>
                <w:szCs w:val="18"/>
              </w:rPr>
              <w:t>资金使用合规性</w:t>
            </w:r>
          </w:p>
        </w:tc>
        <w:tc>
          <w:tcPr>
            <w:tcW w:w="517" w:type="dxa"/>
            <w:vAlign w:val="center"/>
          </w:tcPr>
          <w:p>
            <w:pPr>
              <w:spacing w:line="280" w:lineRule="exact"/>
              <w:jc w:val="center"/>
              <w:rPr>
                <w:rFonts w:ascii="宋体" w:hAnsi="宋体" w:eastAsia="宋体" w:cs="宋体"/>
                <w:kern w:val="0"/>
                <w:sz w:val="18"/>
                <w:szCs w:val="18"/>
              </w:rPr>
            </w:pPr>
            <w:r>
              <w:rPr>
                <w:rFonts w:ascii="宋体" w:hAnsi="宋体" w:eastAsia="宋体" w:cs="宋体"/>
                <w:kern w:val="0"/>
                <w:sz w:val="18"/>
                <w:szCs w:val="18"/>
              </w:rPr>
              <w:t>6</w:t>
            </w:r>
          </w:p>
        </w:tc>
        <w:tc>
          <w:tcPr>
            <w:tcW w:w="2483" w:type="dxa"/>
            <w:gridSpan w:val="4"/>
            <w:vAlign w:val="center"/>
          </w:tcPr>
          <w:p>
            <w:pPr>
              <w:spacing w:line="260" w:lineRule="exact"/>
              <w:jc w:val="left"/>
              <w:rPr>
                <w:rFonts w:ascii="宋体" w:hAnsi="宋体" w:eastAsia="宋体" w:cs="宋体"/>
                <w:kern w:val="0"/>
                <w:sz w:val="18"/>
                <w:szCs w:val="18"/>
              </w:rPr>
            </w:pPr>
            <w:r>
              <w:rPr>
                <w:rFonts w:hint="eastAsia" w:ascii="宋体" w:hAnsi="宋体" w:eastAsia="宋体" w:cs="宋体"/>
                <w:kern w:val="0"/>
                <w:sz w:val="18"/>
                <w:szCs w:val="18"/>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ascii="宋体" w:hAnsi="宋体" w:eastAsia="宋体" w:cs="宋体"/>
                <w:kern w:val="0"/>
                <w:sz w:val="18"/>
                <w:szCs w:val="18"/>
              </w:rPr>
              <w:br w:type="textWrapping"/>
            </w:r>
            <w:r>
              <w:rPr>
                <w:rFonts w:hint="eastAsia" w:ascii="宋体" w:hAnsi="宋体" w:eastAsia="宋体" w:cs="宋体"/>
                <w:kern w:val="0"/>
                <w:sz w:val="18"/>
                <w:szCs w:val="18"/>
              </w:rPr>
              <w:t>以上情况每出现一例不符合要求的扣</w:t>
            </w:r>
            <w:r>
              <w:rPr>
                <w:rFonts w:ascii="宋体" w:hAnsi="宋体" w:eastAsia="宋体" w:cs="宋体"/>
                <w:kern w:val="0"/>
                <w:sz w:val="18"/>
                <w:szCs w:val="18"/>
              </w:rPr>
              <w:t>1</w:t>
            </w:r>
            <w:r>
              <w:rPr>
                <w:rFonts w:hint="eastAsia" w:ascii="宋体" w:hAnsi="宋体" w:eastAsia="宋体" w:cs="宋体"/>
                <w:kern w:val="0"/>
                <w:sz w:val="18"/>
                <w:szCs w:val="18"/>
              </w:rPr>
              <w:t>分，扣完为止。</w:t>
            </w:r>
          </w:p>
        </w:tc>
        <w:tc>
          <w:tcPr>
            <w:tcW w:w="2673" w:type="dxa"/>
            <w:gridSpan w:val="3"/>
            <w:vAlign w:val="center"/>
          </w:tcPr>
          <w:p>
            <w:pPr>
              <w:spacing w:line="28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75" w:type="dxa"/>
            <w:vAlign w:val="center"/>
          </w:tcPr>
          <w:p>
            <w:pPr>
              <w:spacing w:line="28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865" w:hRule="atLeast"/>
          <w:jc w:val="center"/>
        </w:trPr>
        <w:tc>
          <w:tcPr>
            <w:tcW w:w="503" w:type="dxa"/>
            <w:vMerge w:val="continue"/>
            <w:vAlign w:val="center"/>
          </w:tcPr>
          <w:p>
            <w:pPr>
              <w:spacing w:line="280" w:lineRule="exact"/>
              <w:jc w:val="left"/>
              <w:rPr>
                <w:rFonts w:ascii="宋体" w:hAnsi="宋体" w:eastAsia="宋体" w:cs="宋体"/>
                <w:kern w:val="0"/>
                <w:sz w:val="18"/>
                <w:szCs w:val="18"/>
              </w:rPr>
            </w:pPr>
          </w:p>
        </w:tc>
        <w:tc>
          <w:tcPr>
            <w:tcW w:w="503" w:type="dxa"/>
            <w:vMerge w:val="continue"/>
            <w:vAlign w:val="center"/>
          </w:tcPr>
          <w:p>
            <w:pPr>
              <w:spacing w:line="280" w:lineRule="exact"/>
              <w:jc w:val="left"/>
              <w:rPr>
                <w:rFonts w:ascii="宋体" w:hAnsi="宋体" w:eastAsia="宋体" w:cs="宋体"/>
                <w:kern w:val="0"/>
                <w:sz w:val="18"/>
                <w:szCs w:val="18"/>
              </w:rPr>
            </w:pPr>
          </w:p>
        </w:tc>
        <w:tc>
          <w:tcPr>
            <w:tcW w:w="503" w:type="dxa"/>
            <w:gridSpan w:val="2"/>
            <w:vMerge w:val="continue"/>
            <w:vAlign w:val="center"/>
          </w:tcPr>
          <w:p>
            <w:pPr>
              <w:spacing w:line="280" w:lineRule="exact"/>
              <w:jc w:val="left"/>
              <w:rPr>
                <w:rFonts w:ascii="宋体" w:hAnsi="宋体" w:eastAsia="宋体" w:cs="宋体"/>
                <w:kern w:val="0"/>
                <w:sz w:val="18"/>
                <w:szCs w:val="18"/>
              </w:rPr>
            </w:pPr>
          </w:p>
        </w:tc>
        <w:tc>
          <w:tcPr>
            <w:tcW w:w="503" w:type="dxa"/>
            <w:gridSpan w:val="2"/>
            <w:vMerge w:val="continue"/>
            <w:vAlign w:val="center"/>
          </w:tcPr>
          <w:p>
            <w:pPr>
              <w:spacing w:line="280" w:lineRule="exact"/>
              <w:jc w:val="left"/>
              <w:rPr>
                <w:rFonts w:ascii="宋体" w:hAnsi="宋体" w:eastAsia="宋体" w:cs="宋体"/>
                <w:kern w:val="0"/>
                <w:sz w:val="18"/>
                <w:szCs w:val="18"/>
              </w:rPr>
            </w:pPr>
          </w:p>
        </w:tc>
        <w:tc>
          <w:tcPr>
            <w:tcW w:w="783" w:type="dxa"/>
            <w:gridSpan w:val="2"/>
            <w:vAlign w:val="center"/>
          </w:tcPr>
          <w:p>
            <w:pPr>
              <w:spacing w:line="280" w:lineRule="exact"/>
              <w:jc w:val="center"/>
              <w:rPr>
                <w:rFonts w:ascii="宋体" w:hAnsi="宋体" w:eastAsia="宋体" w:cs="宋体"/>
                <w:kern w:val="0"/>
                <w:sz w:val="18"/>
                <w:szCs w:val="18"/>
              </w:rPr>
            </w:pPr>
            <w:r>
              <w:rPr>
                <w:rFonts w:hint="eastAsia" w:ascii="宋体" w:hAnsi="宋体" w:eastAsia="宋体" w:cs="宋体"/>
                <w:kern w:val="0"/>
                <w:sz w:val="18"/>
                <w:szCs w:val="18"/>
              </w:rPr>
              <w:t>预决算信息公开性</w:t>
            </w:r>
          </w:p>
        </w:tc>
        <w:tc>
          <w:tcPr>
            <w:tcW w:w="517" w:type="dxa"/>
            <w:vAlign w:val="center"/>
          </w:tcPr>
          <w:p>
            <w:pPr>
              <w:spacing w:line="280" w:lineRule="exact"/>
              <w:jc w:val="center"/>
              <w:rPr>
                <w:rFonts w:ascii="宋体" w:hAnsi="宋体" w:eastAsia="宋体" w:cs="宋体"/>
                <w:kern w:val="0"/>
                <w:sz w:val="18"/>
                <w:szCs w:val="18"/>
              </w:rPr>
            </w:pPr>
            <w:r>
              <w:rPr>
                <w:rFonts w:ascii="宋体" w:hAnsi="宋体" w:eastAsia="宋体" w:cs="宋体"/>
                <w:kern w:val="0"/>
                <w:sz w:val="18"/>
                <w:szCs w:val="18"/>
              </w:rPr>
              <w:t>5</w:t>
            </w:r>
          </w:p>
        </w:tc>
        <w:tc>
          <w:tcPr>
            <w:tcW w:w="2483" w:type="dxa"/>
            <w:gridSpan w:val="4"/>
            <w:vAlign w:val="center"/>
          </w:tcPr>
          <w:p>
            <w:pPr>
              <w:spacing w:line="260" w:lineRule="exact"/>
              <w:jc w:val="left"/>
              <w:rPr>
                <w:rFonts w:ascii="宋体" w:hAnsi="宋体" w:eastAsia="宋体" w:cs="宋体"/>
                <w:kern w:val="0"/>
                <w:sz w:val="18"/>
                <w:szCs w:val="18"/>
              </w:rPr>
            </w:pPr>
            <w:r>
              <w:rPr>
                <w:rFonts w:hint="eastAsia" w:ascii="宋体" w:hAnsi="宋体" w:eastAsia="宋体" w:cs="宋体"/>
                <w:kern w:val="0"/>
                <w:sz w:val="18"/>
                <w:szCs w:val="18"/>
              </w:rPr>
              <w:t>①按规定内容公开预决算信息，</w:t>
            </w:r>
            <w:r>
              <w:rPr>
                <w:rFonts w:ascii="宋体" w:hAnsi="宋体" w:eastAsia="宋体" w:cs="宋体"/>
                <w:kern w:val="0"/>
                <w:sz w:val="18"/>
                <w:szCs w:val="18"/>
              </w:rPr>
              <w:t>1</w:t>
            </w:r>
            <w:r>
              <w:rPr>
                <w:rFonts w:hint="eastAsia" w:ascii="宋体" w:hAnsi="宋体" w:eastAsia="宋体" w:cs="宋体"/>
                <w:kern w:val="0"/>
                <w:sz w:val="18"/>
                <w:szCs w:val="18"/>
              </w:rPr>
              <w:t>分；②按规定时限公开预决算信息，</w:t>
            </w:r>
            <w:r>
              <w:rPr>
                <w:rFonts w:ascii="宋体" w:hAnsi="宋体" w:eastAsia="宋体" w:cs="宋体"/>
                <w:kern w:val="0"/>
                <w:sz w:val="18"/>
                <w:szCs w:val="18"/>
              </w:rPr>
              <w:t>1</w:t>
            </w:r>
            <w:r>
              <w:rPr>
                <w:rFonts w:hint="eastAsia" w:ascii="宋体" w:hAnsi="宋体" w:eastAsia="宋体" w:cs="宋体"/>
                <w:kern w:val="0"/>
                <w:sz w:val="18"/>
                <w:szCs w:val="18"/>
              </w:rPr>
              <w:t>分；③基础数据信息和会计信息资料真实，</w:t>
            </w:r>
            <w:r>
              <w:rPr>
                <w:rFonts w:ascii="宋体" w:hAnsi="宋体" w:eastAsia="宋体" w:cs="宋体"/>
                <w:kern w:val="0"/>
                <w:sz w:val="18"/>
                <w:szCs w:val="18"/>
              </w:rPr>
              <w:t>1</w:t>
            </w:r>
            <w:r>
              <w:rPr>
                <w:rFonts w:hint="eastAsia" w:ascii="宋体" w:hAnsi="宋体" w:eastAsia="宋体" w:cs="宋体"/>
                <w:kern w:val="0"/>
                <w:sz w:val="18"/>
                <w:szCs w:val="18"/>
              </w:rPr>
              <w:t>分；④基础数据信息和会计信息资料完整，</w:t>
            </w:r>
            <w:r>
              <w:rPr>
                <w:rFonts w:ascii="宋体" w:hAnsi="宋体" w:eastAsia="宋体" w:cs="宋体"/>
                <w:kern w:val="0"/>
                <w:sz w:val="18"/>
                <w:szCs w:val="18"/>
              </w:rPr>
              <w:t>1</w:t>
            </w:r>
            <w:r>
              <w:rPr>
                <w:rFonts w:hint="eastAsia" w:ascii="宋体" w:hAnsi="宋体" w:eastAsia="宋体" w:cs="宋体"/>
                <w:kern w:val="0"/>
                <w:sz w:val="18"/>
                <w:szCs w:val="18"/>
              </w:rPr>
              <w:t>分；⑤基础数据信息和汇集信息资料准确，</w:t>
            </w:r>
            <w:r>
              <w:rPr>
                <w:rFonts w:ascii="宋体" w:hAnsi="宋体" w:eastAsia="宋体" w:cs="宋体"/>
                <w:kern w:val="0"/>
                <w:sz w:val="18"/>
                <w:szCs w:val="18"/>
              </w:rPr>
              <w:t>1</w:t>
            </w:r>
            <w:r>
              <w:rPr>
                <w:rFonts w:hint="eastAsia" w:ascii="宋体" w:hAnsi="宋体" w:eastAsia="宋体" w:cs="宋体"/>
                <w:kern w:val="0"/>
                <w:sz w:val="18"/>
                <w:szCs w:val="18"/>
              </w:rPr>
              <w:t>分。</w:t>
            </w:r>
            <w:r>
              <w:rPr>
                <w:rFonts w:ascii="宋体" w:hAnsi="宋体" w:eastAsia="宋体" w:cs="宋体"/>
                <w:kern w:val="0"/>
                <w:sz w:val="18"/>
                <w:szCs w:val="18"/>
              </w:rPr>
              <w:t xml:space="preserve">  </w:t>
            </w:r>
          </w:p>
        </w:tc>
        <w:tc>
          <w:tcPr>
            <w:tcW w:w="2673" w:type="dxa"/>
            <w:gridSpan w:val="3"/>
            <w:vAlign w:val="center"/>
          </w:tcPr>
          <w:p>
            <w:pPr>
              <w:spacing w:line="280" w:lineRule="exact"/>
              <w:jc w:val="left"/>
              <w:rPr>
                <w:rFonts w:ascii="宋体" w:hAnsi="宋体" w:eastAsia="宋体" w:cs="宋体"/>
                <w:kern w:val="0"/>
                <w:sz w:val="18"/>
                <w:szCs w:val="18"/>
              </w:rPr>
            </w:pPr>
            <w:r>
              <w:rPr>
                <w:rFonts w:hint="eastAsia" w:ascii="宋体" w:hAnsi="宋体" w:eastAsia="宋体" w:cs="宋体"/>
                <w:kern w:val="0"/>
                <w:sz w:val="18"/>
                <w:szCs w:val="18"/>
              </w:rPr>
              <w:t>预决算信息是指与部门预算、执行、决算、监督、绩效等管理相关的信息。</w:t>
            </w:r>
          </w:p>
        </w:tc>
        <w:tc>
          <w:tcPr>
            <w:tcW w:w="875" w:type="dxa"/>
            <w:vAlign w:val="center"/>
          </w:tcPr>
          <w:p>
            <w:pPr>
              <w:spacing w:line="28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735" w:hRule="atLeast"/>
          <w:jc w:val="center"/>
        </w:trPr>
        <w:tc>
          <w:tcPr>
            <w:tcW w:w="503" w:type="dxa"/>
            <w:vMerge w:val="restart"/>
            <w:vAlign w:val="center"/>
          </w:tcPr>
          <w:p>
            <w:pPr>
              <w:spacing w:line="280" w:lineRule="exact"/>
              <w:jc w:val="center"/>
              <w:rPr>
                <w:rFonts w:ascii="宋体" w:hAnsi="宋体" w:eastAsia="宋体" w:cs="宋体"/>
                <w:kern w:val="0"/>
                <w:sz w:val="18"/>
                <w:szCs w:val="18"/>
              </w:rPr>
            </w:pPr>
            <w:r>
              <w:rPr>
                <w:rFonts w:hint="eastAsia" w:ascii="宋体" w:hAnsi="宋体" w:eastAsia="宋体" w:cs="宋体"/>
                <w:kern w:val="0"/>
                <w:sz w:val="18"/>
                <w:szCs w:val="18"/>
              </w:rPr>
              <w:t>产出及效率</w:t>
            </w:r>
          </w:p>
        </w:tc>
        <w:tc>
          <w:tcPr>
            <w:tcW w:w="503" w:type="dxa"/>
            <w:vMerge w:val="restart"/>
            <w:vAlign w:val="center"/>
          </w:tcPr>
          <w:p>
            <w:pPr>
              <w:spacing w:line="280" w:lineRule="exact"/>
              <w:jc w:val="center"/>
              <w:rPr>
                <w:rFonts w:ascii="宋体" w:hAnsi="宋体" w:eastAsia="宋体" w:cs="宋体"/>
                <w:kern w:val="0"/>
                <w:sz w:val="18"/>
                <w:szCs w:val="18"/>
              </w:rPr>
            </w:pPr>
            <w:r>
              <w:rPr>
                <w:rFonts w:ascii="宋体" w:hAnsi="宋体" w:eastAsia="宋体" w:cs="宋体"/>
                <w:kern w:val="0"/>
                <w:sz w:val="18"/>
                <w:szCs w:val="18"/>
              </w:rPr>
              <w:t>30</w:t>
            </w:r>
          </w:p>
        </w:tc>
        <w:tc>
          <w:tcPr>
            <w:tcW w:w="503" w:type="dxa"/>
            <w:gridSpan w:val="2"/>
            <w:vAlign w:val="center"/>
          </w:tcPr>
          <w:p>
            <w:pPr>
              <w:spacing w:line="280" w:lineRule="exact"/>
              <w:jc w:val="center"/>
              <w:rPr>
                <w:rFonts w:ascii="宋体" w:hAnsi="宋体" w:eastAsia="宋体" w:cs="宋体"/>
                <w:kern w:val="0"/>
                <w:sz w:val="18"/>
                <w:szCs w:val="18"/>
              </w:rPr>
            </w:pPr>
            <w:r>
              <w:rPr>
                <w:rFonts w:hint="eastAsia" w:ascii="宋体" w:hAnsi="宋体" w:eastAsia="宋体" w:cs="宋体"/>
                <w:kern w:val="0"/>
                <w:sz w:val="18"/>
                <w:szCs w:val="18"/>
              </w:rPr>
              <w:t>职责履行</w:t>
            </w:r>
          </w:p>
        </w:tc>
        <w:tc>
          <w:tcPr>
            <w:tcW w:w="503" w:type="dxa"/>
            <w:gridSpan w:val="2"/>
            <w:vAlign w:val="center"/>
          </w:tcPr>
          <w:p>
            <w:pPr>
              <w:spacing w:line="280" w:lineRule="exact"/>
              <w:jc w:val="center"/>
              <w:rPr>
                <w:rFonts w:ascii="宋体" w:hAnsi="宋体" w:eastAsia="宋体" w:cs="宋体"/>
                <w:kern w:val="0"/>
                <w:sz w:val="18"/>
                <w:szCs w:val="18"/>
              </w:rPr>
            </w:pPr>
            <w:r>
              <w:rPr>
                <w:rFonts w:ascii="宋体" w:hAnsi="宋体" w:eastAsia="宋体" w:cs="宋体"/>
                <w:kern w:val="0"/>
                <w:sz w:val="18"/>
                <w:szCs w:val="18"/>
              </w:rPr>
              <w:t>8</w:t>
            </w:r>
          </w:p>
        </w:tc>
        <w:tc>
          <w:tcPr>
            <w:tcW w:w="783" w:type="dxa"/>
            <w:gridSpan w:val="2"/>
            <w:vAlign w:val="center"/>
          </w:tcPr>
          <w:p>
            <w:pPr>
              <w:spacing w:line="280" w:lineRule="exact"/>
              <w:jc w:val="center"/>
              <w:rPr>
                <w:rFonts w:ascii="宋体" w:hAnsi="宋体" w:eastAsia="宋体" w:cs="宋体"/>
                <w:kern w:val="0"/>
                <w:sz w:val="18"/>
                <w:szCs w:val="18"/>
              </w:rPr>
            </w:pPr>
            <w:r>
              <w:rPr>
                <w:rFonts w:hint="eastAsia" w:ascii="宋体" w:hAnsi="宋体" w:eastAsia="宋体" w:cs="宋体"/>
                <w:kern w:val="0"/>
                <w:sz w:val="18"/>
                <w:szCs w:val="18"/>
              </w:rPr>
              <w:t>重点工作实际完成率</w:t>
            </w:r>
          </w:p>
        </w:tc>
        <w:tc>
          <w:tcPr>
            <w:tcW w:w="517" w:type="dxa"/>
            <w:vAlign w:val="center"/>
          </w:tcPr>
          <w:p>
            <w:pPr>
              <w:spacing w:line="280" w:lineRule="exact"/>
              <w:jc w:val="center"/>
              <w:rPr>
                <w:rFonts w:ascii="宋体" w:hAnsi="宋体" w:eastAsia="宋体" w:cs="宋体"/>
                <w:kern w:val="0"/>
                <w:sz w:val="18"/>
                <w:szCs w:val="18"/>
              </w:rPr>
            </w:pPr>
            <w:r>
              <w:rPr>
                <w:rFonts w:ascii="宋体" w:hAnsi="宋体" w:eastAsia="宋体" w:cs="宋体"/>
                <w:kern w:val="0"/>
                <w:sz w:val="18"/>
                <w:szCs w:val="18"/>
              </w:rPr>
              <w:t>8</w:t>
            </w:r>
          </w:p>
        </w:tc>
        <w:tc>
          <w:tcPr>
            <w:tcW w:w="2483" w:type="dxa"/>
            <w:gridSpan w:val="4"/>
            <w:vAlign w:val="center"/>
          </w:tcPr>
          <w:p>
            <w:pPr>
              <w:spacing w:line="280" w:lineRule="exact"/>
              <w:jc w:val="left"/>
              <w:rPr>
                <w:rFonts w:ascii="宋体" w:hAnsi="宋体" w:eastAsia="宋体" w:cs="宋体"/>
                <w:kern w:val="0"/>
                <w:sz w:val="18"/>
                <w:szCs w:val="18"/>
              </w:rPr>
            </w:pPr>
            <w:r>
              <w:rPr>
                <w:rFonts w:hint="eastAsia" w:ascii="宋体" w:hAnsi="宋体" w:eastAsia="宋体" w:cs="宋体"/>
                <w:kern w:val="0"/>
                <w:sz w:val="18"/>
                <w:szCs w:val="18"/>
              </w:rPr>
              <w:t>根据履职情况，结合绩效目标和项目性质，对重点工作计划完成、产出质量、产出时效和有关成本控制情况评价，实现</w:t>
            </w:r>
            <w:r>
              <w:rPr>
                <w:rFonts w:ascii="宋体" w:hAnsi="宋体" w:eastAsia="宋体" w:cs="宋体"/>
                <w:kern w:val="0"/>
                <w:sz w:val="18"/>
                <w:szCs w:val="18"/>
              </w:rPr>
              <w:t>70%</w:t>
            </w:r>
            <w:r>
              <w:rPr>
                <w:rFonts w:hint="eastAsia" w:ascii="宋体" w:hAnsi="宋体" w:eastAsia="宋体" w:cs="宋体"/>
                <w:kern w:val="0"/>
                <w:sz w:val="18"/>
                <w:szCs w:val="18"/>
              </w:rPr>
              <w:t>以上得</w:t>
            </w:r>
            <w:r>
              <w:rPr>
                <w:rFonts w:ascii="宋体" w:hAnsi="宋体" w:eastAsia="宋体" w:cs="宋体"/>
                <w:kern w:val="0"/>
                <w:sz w:val="18"/>
                <w:szCs w:val="18"/>
              </w:rPr>
              <w:t>4</w:t>
            </w:r>
            <w:r>
              <w:rPr>
                <w:rFonts w:hint="eastAsia" w:ascii="宋体" w:hAnsi="宋体" w:eastAsia="宋体" w:cs="宋体"/>
                <w:kern w:val="0"/>
                <w:sz w:val="18"/>
                <w:szCs w:val="18"/>
              </w:rPr>
              <w:t>分，</w:t>
            </w:r>
            <w:r>
              <w:rPr>
                <w:rFonts w:ascii="宋体" w:hAnsi="宋体" w:eastAsia="宋体" w:cs="宋体"/>
                <w:kern w:val="0"/>
                <w:sz w:val="18"/>
                <w:szCs w:val="18"/>
              </w:rPr>
              <w:t>70%</w:t>
            </w:r>
            <w:r>
              <w:rPr>
                <w:rFonts w:hint="eastAsia" w:ascii="宋体" w:hAnsi="宋体" w:eastAsia="宋体" w:cs="宋体"/>
                <w:kern w:val="0"/>
                <w:sz w:val="18"/>
                <w:szCs w:val="18"/>
              </w:rPr>
              <w:t>以下不得分。</w:t>
            </w:r>
          </w:p>
        </w:tc>
        <w:tc>
          <w:tcPr>
            <w:tcW w:w="2673" w:type="dxa"/>
            <w:gridSpan w:val="3"/>
            <w:vAlign w:val="center"/>
          </w:tcPr>
          <w:p>
            <w:pPr>
              <w:spacing w:line="28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75" w:type="dxa"/>
            <w:vAlign w:val="center"/>
          </w:tcPr>
          <w:p>
            <w:pPr>
              <w:spacing w:line="28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54" w:hRule="atLeast"/>
          <w:jc w:val="center"/>
        </w:trPr>
        <w:tc>
          <w:tcPr>
            <w:tcW w:w="503" w:type="dxa"/>
            <w:vMerge w:val="continue"/>
            <w:vAlign w:val="center"/>
          </w:tcPr>
          <w:p>
            <w:pPr>
              <w:spacing w:line="280" w:lineRule="exact"/>
              <w:jc w:val="left"/>
              <w:rPr>
                <w:rFonts w:ascii="宋体" w:hAnsi="宋体" w:eastAsia="宋体" w:cs="宋体"/>
                <w:kern w:val="0"/>
                <w:sz w:val="18"/>
                <w:szCs w:val="18"/>
              </w:rPr>
            </w:pPr>
          </w:p>
        </w:tc>
        <w:tc>
          <w:tcPr>
            <w:tcW w:w="503" w:type="dxa"/>
            <w:vMerge w:val="continue"/>
            <w:vAlign w:val="center"/>
          </w:tcPr>
          <w:p>
            <w:pPr>
              <w:spacing w:line="280" w:lineRule="exact"/>
              <w:jc w:val="left"/>
              <w:rPr>
                <w:rFonts w:ascii="宋体" w:hAnsi="宋体" w:eastAsia="宋体" w:cs="宋体"/>
                <w:kern w:val="0"/>
                <w:sz w:val="18"/>
                <w:szCs w:val="18"/>
              </w:rPr>
            </w:pPr>
          </w:p>
        </w:tc>
        <w:tc>
          <w:tcPr>
            <w:tcW w:w="503" w:type="dxa"/>
            <w:gridSpan w:val="2"/>
            <w:vMerge w:val="restart"/>
            <w:vAlign w:val="center"/>
          </w:tcPr>
          <w:p>
            <w:pPr>
              <w:spacing w:line="280" w:lineRule="exact"/>
              <w:jc w:val="center"/>
              <w:rPr>
                <w:rFonts w:ascii="宋体" w:hAnsi="宋体" w:eastAsia="宋体" w:cs="宋体"/>
                <w:kern w:val="0"/>
                <w:sz w:val="18"/>
                <w:szCs w:val="18"/>
              </w:rPr>
            </w:pPr>
            <w:r>
              <w:rPr>
                <w:rFonts w:hint="eastAsia" w:ascii="宋体" w:hAnsi="宋体" w:eastAsia="宋体" w:cs="宋体"/>
                <w:kern w:val="0"/>
                <w:sz w:val="18"/>
                <w:szCs w:val="18"/>
              </w:rPr>
              <w:t>履职</w:t>
            </w:r>
            <w:r>
              <w:rPr>
                <w:rFonts w:ascii="宋体" w:hAnsi="宋体" w:eastAsia="宋体" w:cs="宋体"/>
                <w:kern w:val="0"/>
                <w:sz w:val="18"/>
                <w:szCs w:val="18"/>
              </w:rPr>
              <w:t xml:space="preserve"> </w:t>
            </w:r>
            <w:r>
              <w:rPr>
                <w:rFonts w:hint="eastAsia" w:ascii="宋体" w:hAnsi="宋体" w:eastAsia="宋体" w:cs="宋体"/>
                <w:kern w:val="0"/>
                <w:sz w:val="18"/>
                <w:szCs w:val="18"/>
              </w:rPr>
              <w:t>效益</w:t>
            </w:r>
          </w:p>
        </w:tc>
        <w:tc>
          <w:tcPr>
            <w:tcW w:w="503" w:type="dxa"/>
            <w:gridSpan w:val="2"/>
            <w:vMerge w:val="restart"/>
            <w:vAlign w:val="center"/>
          </w:tcPr>
          <w:p>
            <w:pPr>
              <w:spacing w:line="280" w:lineRule="exact"/>
              <w:jc w:val="center"/>
              <w:rPr>
                <w:rFonts w:ascii="宋体" w:hAnsi="宋体" w:eastAsia="宋体" w:cs="宋体"/>
                <w:kern w:val="0"/>
                <w:sz w:val="18"/>
                <w:szCs w:val="18"/>
              </w:rPr>
            </w:pPr>
            <w:r>
              <w:rPr>
                <w:rFonts w:ascii="宋体" w:hAnsi="宋体" w:eastAsia="宋体" w:cs="宋体"/>
                <w:kern w:val="0"/>
                <w:sz w:val="18"/>
                <w:szCs w:val="18"/>
              </w:rPr>
              <w:t>10</w:t>
            </w:r>
          </w:p>
        </w:tc>
        <w:tc>
          <w:tcPr>
            <w:tcW w:w="783" w:type="dxa"/>
            <w:gridSpan w:val="2"/>
            <w:vAlign w:val="center"/>
          </w:tcPr>
          <w:p>
            <w:pPr>
              <w:spacing w:line="280" w:lineRule="exact"/>
              <w:jc w:val="center"/>
              <w:rPr>
                <w:rFonts w:ascii="宋体" w:hAnsi="宋体" w:eastAsia="宋体" w:cs="宋体"/>
                <w:kern w:val="0"/>
                <w:sz w:val="18"/>
                <w:szCs w:val="18"/>
              </w:rPr>
            </w:pPr>
            <w:r>
              <w:rPr>
                <w:rFonts w:hint="eastAsia" w:ascii="宋体" w:hAnsi="宋体" w:eastAsia="宋体" w:cs="宋体"/>
                <w:kern w:val="0"/>
                <w:sz w:val="18"/>
                <w:szCs w:val="18"/>
              </w:rPr>
              <w:t>经济</w:t>
            </w:r>
          </w:p>
          <w:p>
            <w:pPr>
              <w:spacing w:line="280" w:lineRule="exact"/>
              <w:jc w:val="center"/>
              <w:rPr>
                <w:rFonts w:ascii="宋体" w:hAnsi="宋体" w:eastAsia="宋体" w:cs="宋体"/>
                <w:kern w:val="0"/>
                <w:sz w:val="18"/>
                <w:szCs w:val="18"/>
              </w:rPr>
            </w:pPr>
            <w:r>
              <w:rPr>
                <w:rFonts w:hint="eastAsia" w:ascii="宋体" w:hAnsi="宋体" w:eastAsia="宋体" w:cs="宋体"/>
                <w:kern w:val="0"/>
                <w:sz w:val="18"/>
                <w:szCs w:val="18"/>
              </w:rPr>
              <w:t>效益</w:t>
            </w:r>
          </w:p>
        </w:tc>
        <w:tc>
          <w:tcPr>
            <w:tcW w:w="517" w:type="dxa"/>
            <w:vMerge w:val="restart"/>
            <w:vAlign w:val="center"/>
          </w:tcPr>
          <w:p>
            <w:pPr>
              <w:spacing w:line="280" w:lineRule="exact"/>
              <w:jc w:val="center"/>
              <w:rPr>
                <w:rFonts w:ascii="宋体" w:hAnsi="宋体" w:eastAsia="宋体" w:cs="宋体"/>
                <w:kern w:val="0"/>
                <w:sz w:val="18"/>
                <w:szCs w:val="18"/>
              </w:rPr>
            </w:pPr>
            <w:r>
              <w:rPr>
                <w:rFonts w:ascii="宋体" w:hAnsi="宋体" w:eastAsia="宋体" w:cs="宋体"/>
                <w:kern w:val="0"/>
                <w:sz w:val="18"/>
                <w:szCs w:val="18"/>
              </w:rPr>
              <w:t>10</w:t>
            </w:r>
          </w:p>
        </w:tc>
        <w:tc>
          <w:tcPr>
            <w:tcW w:w="2483" w:type="dxa"/>
            <w:gridSpan w:val="4"/>
            <w:vMerge w:val="restart"/>
            <w:vAlign w:val="center"/>
          </w:tcPr>
          <w:p>
            <w:pPr>
              <w:spacing w:line="280" w:lineRule="exact"/>
              <w:jc w:val="left"/>
              <w:rPr>
                <w:rFonts w:ascii="宋体" w:hAnsi="宋体" w:eastAsia="宋体" w:cs="宋体"/>
                <w:kern w:val="0"/>
                <w:sz w:val="18"/>
                <w:szCs w:val="18"/>
              </w:rPr>
            </w:pPr>
            <w:r>
              <w:rPr>
                <w:rFonts w:hint="eastAsia" w:ascii="宋体" w:hAnsi="宋体" w:eastAsia="宋体" w:cs="宋体"/>
                <w:kern w:val="0"/>
                <w:sz w:val="18"/>
                <w:szCs w:val="18"/>
              </w:rPr>
              <w:t>此两项指标为设置部门整体支出绩效评价指标时必须考虑的共性要素，可根据部门实际情况有选择的进行设置，并将其细化为相应的个性化指标。</w:t>
            </w:r>
          </w:p>
        </w:tc>
        <w:tc>
          <w:tcPr>
            <w:tcW w:w="2673" w:type="dxa"/>
            <w:gridSpan w:val="3"/>
            <w:vMerge w:val="restart"/>
            <w:vAlign w:val="center"/>
          </w:tcPr>
          <w:p>
            <w:pPr>
              <w:spacing w:line="280" w:lineRule="exact"/>
              <w:jc w:val="left"/>
              <w:rPr>
                <w:rFonts w:ascii="宋体" w:hAnsi="宋体" w:eastAsia="宋体" w:cs="宋体"/>
                <w:color w:val="000000"/>
                <w:kern w:val="0"/>
                <w:sz w:val="18"/>
                <w:szCs w:val="18"/>
              </w:rPr>
            </w:pPr>
          </w:p>
        </w:tc>
        <w:tc>
          <w:tcPr>
            <w:tcW w:w="875" w:type="dxa"/>
            <w:vMerge w:val="restart"/>
            <w:vAlign w:val="center"/>
          </w:tcPr>
          <w:p>
            <w:pPr>
              <w:spacing w:line="28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69" w:hRule="atLeast"/>
          <w:jc w:val="center"/>
        </w:trPr>
        <w:tc>
          <w:tcPr>
            <w:tcW w:w="503" w:type="dxa"/>
            <w:vMerge w:val="continue"/>
            <w:vAlign w:val="center"/>
          </w:tcPr>
          <w:p>
            <w:pPr>
              <w:spacing w:line="280" w:lineRule="exact"/>
              <w:jc w:val="left"/>
              <w:rPr>
                <w:rFonts w:ascii="宋体" w:hAnsi="宋体" w:eastAsia="宋体" w:cs="宋体"/>
                <w:kern w:val="0"/>
                <w:sz w:val="18"/>
                <w:szCs w:val="18"/>
              </w:rPr>
            </w:pPr>
          </w:p>
        </w:tc>
        <w:tc>
          <w:tcPr>
            <w:tcW w:w="503" w:type="dxa"/>
            <w:vMerge w:val="continue"/>
            <w:vAlign w:val="center"/>
          </w:tcPr>
          <w:p>
            <w:pPr>
              <w:spacing w:line="280" w:lineRule="exact"/>
              <w:jc w:val="left"/>
              <w:rPr>
                <w:rFonts w:ascii="宋体" w:hAnsi="宋体" w:eastAsia="宋体" w:cs="宋体"/>
                <w:kern w:val="0"/>
                <w:sz w:val="18"/>
                <w:szCs w:val="18"/>
              </w:rPr>
            </w:pPr>
          </w:p>
        </w:tc>
        <w:tc>
          <w:tcPr>
            <w:tcW w:w="503" w:type="dxa"/>
            <w:gridSpan w:val="2"/>
            <w:vMerge w:val="continue"/>
            <w:vAlign w:val="center"/>
          </w:tcPr>
          <w:p>
            <w:pPr>
              <w:spacing w:line="280" w:lineRule="exact"/>
              <w:jc w:val="left"/>
              <w:rPr>
                <w:rFonts w:ascii="宋体" w:hAnsi="宋体" w:eastAsia="宋体" w:cs="宋体"/>
                <w:kern w:val="0"/>
                <w:sz w:val="18"/>
                <w:szCs w:val="18"/>
              </w:rPr>
            </w:pPr>
          </w:p>
        </w:tc>
        <w:tc>
          <w:tcPr>
            <w:tcW w:w="503" w:type="dxa"/>
            <w:gridSpan w:val="2"/>
            <w:vMerge w:val="continue"/>
            <w:vAlign w:val="center"/>
          </w:tcPr>
          <w:p>
            <w:pPr>
              <w:spacing w:line="280" w:lineRule="exact"/>
              <w:jc w:val="left"/>
              <w:rPr>
                <w:rFonts w:ascii="宋体" w:hAnsi="宋体" w:eastAsia="宋体" w:cs="宋体"/>
                <w:kern w:val="0"/>
                <w:sz w:val="18"/>
                <w:szCs w:val="18"/>
              </w:rPr>
            </w:pPr>
          </w:p>
        </w:tc>
        <w:tc>
          <w:tcPr>
            <w:tcW w:w="783" w:type="dxa"/>
            <w:gridSpan w:val="2"/>
            <w:vAlign w:val="center"/>
          </w:tcPr>
          <w:p>
            <w:pPr>
              <w:spacing w:line="280" w:lineRule="exact"/>
              <w:jc w:val="center"/>
              <w:rPr>
                <w:rFonts w:ascii="宋体" w:hAnsi="宋体" w:eastAsia="宋体" w:cs="宋体"/>
                <w:kern w:val="0"/>
                <w:sz w:val="18"/>
                <w:szCs w:val="18"/>
              </w:rPr>
            </w:pPr>
            <w:r>
              <w:rPr>
                <w:rFonts w:hint="eastAsia" w:ascii="宋体" w:hAnsi="宋体" w:eastAsia="宋体" w:cs="宋体"/>
                <w:kern w:val="0"/>
                <w:sz w:val="18"/>
                <w:szCs w:val="18"/>
              </w:rPr>
              <w:t>社会</w:t>
            </w:r>
          </w:p>
          <w:p>
            <w:pPr>
              <w:spacing w:line="280" w:lineRule="exact"/>
              <w:jc w:val="center"/>
              <w:rPr>
                <w:rFonts w:ascii="宋体" w:hAnsi="宋体" w:eastAsia="宋体" w:cs="宋体"/>
                <w:kern w:val="0"/>
                <w:sz w:val="18"/>
                <w:szCs w:val="18"/>
              </w:rPr>
            </w:pPr>
            <w:r>
              <w:rPr>
                <w:rFonts w:hint="eastAsia" w:ascii="宋体" w:hAnsi="宋体" w:eastAsia="宋体" w:cs="宋体"/>
                <w:kern w:val="0"/>
                <w:sz w:val="18"/>
                <w:szCs w:val="18"/>
              </w:rPr>
              <w:t>效益</w:t>
            </w:r>
          </w:p>
        </w:tc>
        <w:tc>
          <w:tcPr>
            <w:tcW w:w="517" w:type="dxa"/>
            <w:vMerge w:val="continue"/>
            <w:vAlign w:val="center"/>
          </w:tcPr>
          <w:p>
            <w:pPr>
              <w:spacing w:line="280" w:lineRule="exact"/>
              <w:jc w:val="left"/>
              <w:rPr>
                <w:rFonts w:ascii="宋体" w:hAnsi="宋体" w:eastAsia="宋体" w:cs="宋体"/>
                <w:kern w:val="0"/>
                <w:sz w:val="18"/>
                <w:szCs w:val="18"/>
              </w:rPr>
            </w:pPr>
          </w:p>
        </w:tc>
        <w:tc>
          <w:tcPr>
            <w:tcW w:w="2483" w:type="dxa"/>
            <w:gridSpan w:val="4"/>
            <w:vMerge w:val="continue"/>
            <w:vAlign w:val="center"/>
          </w:tcPr>
          <w:p>
            <w:pPr>
              <w:spacing w:line="280" w:lineRule="exact"/>
              <w:jc w:val="left"/>
              <w:rPr>
                <w:rFonts w:ascii="宋体" w:hAnsi="宋体" w:eastAsia="宋体" w:cs="宋体"/>
                <w:kern w:val="0"/>
                <w:sz w:val="18"/>
                <w:szCs w:val="18"/>
              </w:rPr>
            </w:pPr>
          </w:p>
        </w:tc>
        <w:tc>
          <w:tcPr>
            <w:tcW w:w="2673" w:type="dxa"/>
            <w:gridSpan w:val="3"/>
            <w:vMerge w:val="continue"/>
            <w:vAlign w:val="center"/>
          </w:tcPr>
          <w:p>
            <w:pPr>
              <w:spacing w:line="280" w:lineRule="exact"/>
              <w:jc w:val="left"/>
              <w:rPr>
                <w:rFonts w:ascii="宋体" w:hAnsi="宋体" w:eastAsia="宋体" w:cs="宋体"/>
                <w:kern w:val="0"/>
                <w:sz w:val="18"/>
                <w:szCs w:val="18"/>
              </w:rPr>
            </w:pPr>
          </w:p>
        </w:tc>
        <w:tc>
          <w:tcPr>
            <w:tcW w:w="875" w:type="dxa"/>
            <w:vMerge w:val="continue"/>
            <w:vAlign w:val="center"/>
          </w:tcPr>
          <w:p>
            <w:pPr>
              <w:spacing w:line="280" w:lineRule="exact"/>
              <w:jc w:val="center"/>
              <w:rPr>
                <w:rFonts w:ascii="宋体" w:hAnsi="宋体" w:eastAsia="宋体" w:cs="宋体"/>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584" w:hRule="atLeast"/>
          <w:jc w:val="center"/>
        </w:trPr>
        <w:tc>
          <w:tcPr>
            <w:tcW w:w="503" w:type="dxa"/>
            <w:vMerge w:val="continue"/>
            <w:vAlign w:val="center"/>
          </w:tcPr>
          <w:p>
            <w:pPr>
              <w:spacing w:line="280" w:lineRule="exact"/>
              <w:jc w:val="left"/>
              <w:rPr>
                <w:rFonts w:ascii="宋体" w:hAnsi="宋体" w:eastAsia="宋体" w:cs="宋体"/>
                <w:kern w:val="0"/>
                <w:sz w:val="18"/>
                <w:szCs w:val="18"/>
              </w:rPr>
            </w:pPr>
          </w:p>
        </w:tc>
        <w:tc>
          <w:tcPr>
            <w:tcW w:w="503" w:type="dxa"/>
            <w:vMerge w:val="continue"/>
            <w:vAlign w:val="center"/>
          </w:tcPr>
          <w:p>
            <w:pPr>
              <w:spacing w:line="280" w:lineRule="exact"/>
              <w:jc w:val="left"/>
              <w:rPr>
                <w:rFonts w:ascii="宋体" w:hAnsi="宋体" w:eastAsia="宋体" w:cs="宋体"/>
                <w:kern w:val="0"/>
                <w:sz w:val="18"/>
                <w:szCs w:val="18"/>
              </w:rPr>
            </w:pPr>
          </w:p>
        </w:tc>
        <w:tc>
          <w:tcPr>
            <w:tcW w:w="503" w:type="dxa"/>
            <w:gridSpan w:val="2"/>
            <w:vMerge w:val="continue"/>
            <w:vAlign w:val="center"/>
          </w:tcPr>
          <w:p>
            <w:pPr>
              <w:spacing w:line="280" w:lineRule="exact"/>
              <w:jc w:val="left"/>
              <w:rPr>
                <w:rFonts w:ascii="宋体" w:hAnsi="宋体" w:eastAsia="宋体" w:cs="宋体"/>
                <w:kern w:val="0"/>
                <w:sz w:val="18"/>
                <w:szCs w:val="18"/>
              </w:rPr>
            </w:pPr>
          </w:p>
        </w:tc>
        <w:tc>
          <w:tcPr>
            <w:tcW w:w="503" w:type="dxa"/>
            <w:gridSpan w:val="2"/>
            <w:vMerge w:val="restart"/>
            <w:vAlign w:val="center"/>
          </w:tcPr>
          <w:p>
            <w:pPr>
              <w:spacing w:line="280" w:lineRule="exact"/>
              <w:jc w:val="center"/>
              <w:rPr>
                <w:rFonts w:ascii="宋体" w:hAnsi="宋体" w:eastAsia="宋体" w:cs="宋体"/>
                <w:kern w:val="0"/>
                <w:sz w:val="18"/>
                <w:szCs w:val="18"/>
              </w:rPr>
            </w:pPr>
            <w:r>
              <w:rPr>
                <w:rFonts w:ascii="宋体" w:hAnsi="宋体" w:eastAsia="宋体" w:cs="宋体"/>
                <w:kern w:val="0"/>
                <w:sz w:val="18"/>
                <w:szCs w:val="18"/>
              </w:rPr>
              <w:t>12</w:t>
            </w:r>
          </w:p>
        </w:tc>
        <w:tc>
          <w:tcPr>
            <w:tcW w:w="783" w:type="dxa"/>
            <w:gridSpan w:val="2"/>
            <w:vAlign w:val="center"/>
          </w:tcPr>
          <w:p>
            <w:pPr>
              <w:spacing w:line="280" w:lineRule="exact"/>
              <w:jc w:val="center"/>
              <w:rPr>
                <w:rFonts w:ascii="宋体" w:hAnsi="宋体" w:eastAsia="宋体" w:cs="宋体"/>
                <w:kern w:val="0"/>
                <w:sz w:val="18"/>
                <w:szCs w:val="18"/>
              </w:rPr>
            </w:pPr>
            <w:r>
              <w:rPr>
                <w:rFonts w:hint="eastAsia" w:ascii="宋体" w:hAnsi="宋体" w:eastAsia="宋体" w:cs="宋体"/>
                <w:kern w:val="0"/>
                <w:sz w:val="18"/>
                <w:szCs w:val="18"/>
              </w:rPr>
              <w:t>行政</w:t>
            </w:r>
          </w:p>
          <w:p>
            <w:pPr>
              <w:spacing w:line="280" w:lineRule="exact"/>
              <w:jc w:val="center"/>
              <w:rPr>
                <w:rFonts w:ascii="宋体" w:hAnsi="宋体" w:eastAsia="宋体" w:cs="宋体"/>
                <w:kern w:val="0"/>
                <w:sz w:val="18"/>
                <w:szCs w:val="18"/>
              </w:rPr>
            </w:pPr>
            <w:r>
              <w:rPr>
                <w:rFonts w:hint="eastAsia" w:ascii="宋体" w:hAnsi="宋体" w:eastAsia="宋体" w:cs="宋体"/>
                <w:kern w:val="0"/>
                <w:sz w:val="18"/>
                <w:szCs w:val="18"/>
              </w:rPr>
              <w:t>效能</w:t>
            </w:r>
          </w:p>
        </w:tc>
        <w:tc>
          <w:tcPr>
            <w:tcW w:w="517" w:type="dxa"/>
            <w:vAlign w:val="center"/>
          </w:tcPr>
          <w:p>
            <w:pPr>
              <w:spacing w:line="280" w:lineRule="exact"/>
              <w:jc w:val="center"/>
              <w:rPr>
                <w:rFonts w:ascii="宋体" w:hAnsi="宋体" w:eastAsia="宋体" w:cs="宋体"/>
                <w:kern w:val="0"/>
                <w:sz w:val="18"/>
                <w:szCs w:val="18"/>
              </w:rPr>
            </w:pPr>
            <w:r>
              <w:rPr>
                <w:rFonts w:ascii="宋体" w:hAnsi="宋体" w:eastAsia="宋体" w:cs="宋体"/>
                <w:kern w:val="0"/>
                <w:sz w:val="18"/>
                <w:szCs w:val="18"/>
              </w:rPr>
              <w:t>6</w:t>
            </w:r>
          </w:p>
        </w:tc>
        <w:tc>
          <w:tcPr>
            <w:tcW w:w="2483" w:type="dxa"/>
            <w:gridSpan w:val="4"/>
            <w:vAlign w:val="center"/>
          </w:tcPr>
          <w:p>
            <w:pPr>
              <w:spacing w:line="280" w:lineRule="exact"/>
              <w:jc w:val="left"/>
              <w:rPr>
                <w:rFonts w:ascii="宋体" w:hAnsi="宋体" w:eastAsia="宋体" w:cs="宋体"/>
                <w:kern w:val="0"/>
                <w:sz w:val="18"/>
                <w:szCs w:val="18"/>
              </w:rPr>
            </w:pPr>
            <w:r>
              <w:rPr>
                <w:rFonts w:hint="eastAsia" w:ascii="宋体" w:hAnsi="宋体" w:eastAsia="宋体" w:cs="宋体"/>
                <w:kern w:val="0"/>
                <w:sz w:val="18"/>
                <w:szCs w:val="18"/>
              </w:rPr>
              <w:t>促进部门改进文风会风，加强经费及资产管理，推动网上办事，提高行政效率，降低行政成本效果较好的计</w:t>
            </w:r>
            <w:r>
              <w:rPr>
                <w:rFonts w:ascii="宋体" w:hAnsi="宋体" w:eastAsia="宋体" w:cs="宋体"/>
                <w:kern w:val="0"/>
                <w:sz w:val="18"/>
                <w:szCs w:val="18"/>
              </w:rPr>
              <w:t>6</w:t>
            </w:r>
            <w:r>
              <w:rPr>
                <w:rFonts w:hint="eastAsia" w:ascii="宋体" w:hAnsi="宋体" w:eastAsia="宋体" w:cs="宋体"/>
                <w:kern w:val="0"/>
                <w:sz w:val="18"/>
                <w:szCs w:val="18"/>
              </w:rPr>
              <w:t>分；一般</w:t>
            </w:r>
            <w:r>
              <w:rPr>
                <w:rFonts w:ascii="宋体" w:hAnsi="宋体" w:eastAsia="宋体" w:cs="宋体"/>
                <w:kern w:val="0"/>
                <w:sz w:val="18"/>
                <w:szCs w:val="18"/>
              </w:rPr>
              <w:t>3</w:t>
            </w:r>
            <w:r>
              <w:rPr>
                <w:rFonts w:hint="eastAsia" w:ascii="宋体" w:hAnsi="宋体" w:eastAsia="宋体" w:cs="宋体"/>
                <w:kern w:val="0"/>
                <w:sz w:val="18"/>
                <w:szCs w:val="18"/>
              </w:rPr>
              <w:t>分；无效果或者效果不明显</w:t>
            </w:r>
            <w:r>
              <w:rPr>
                <w:rFonts w:ascii="宋体" w:hAnsi="宋体" w:eastAsia="宋体" w:cs="宋体"/>
                <w:kern w:val="0"/>
                <w:sz w:val="18"/>
                <w:szCs w:val="18"/>
              </w:rPr>
              <w:t>0</w:t>
            </w:r>
            <w:r>
              <w:rPr>
                <w:rFonts w:hint="eastAsia" w:ascii="宋体" w:hAnsi="宋体" w:eastAsia="宋体" w:cs="宋体"/>
                <w:kern w:val="0"/>
                <w:sz w:val="18"/>
                <w:szCs w:val="18"/>
              </w:rPr>
              <w:t>分。</w:t>
            </w:r>
          </w:p>
        </w:tc>
        <w:tc>
          <w:tcPr>
            <w:tcW w:w="2673" w:type="dxa"/>
            <w:gridSpan w:val="3"/>
            <w:vAlign w:val="center"/>
          </w:tcPr>
          <w:p>
            <w:pPr>
              <w:spacing w:line="280" w:lineRule="exact"/>
              <w:jc w:val="left"/>
              <w:rPr>
                <w:rFonts w:ascii="宋体" w:hAnsi="宋体" w:eastAsia="宋体" w:cs="宋体"/>
                <w:kern w:val="0"/>
                <w:sz w:val="18"/>
                <w:szCs w:val="18"/>
              </w:rPr>
            </w:pPr>
            <w:r>
              <w:rPr>
                <w:rFonts w:hint="eastAsia" w:ascii="宋体" w:hAnsi="宋体" w:eastAsia="宋体" w:cs="宋体"/>
                <w:kern w:val="0"/>
                <w:sz w:val="18"/>
                <w:szCs w:val="18"/>
              </w:rPr>
              <w:t>根据部门自评材料评定。</w:t>
            </w:r>
          </w:p>
        </w:tc>
        <w:tc>
          <w:tcPr>
            <w:tcW w:w="875" w:type="dxa"/>
            <w:vAlign w:val="center"/>
          </w:tcPr>
          <w:p>
            <w:pPr>
              <w:spacing w:line="28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584" w:hRule="atLeast"/>
          <w:jc w:val="center"/>
        </w:trPr>
        <w:tc>
          <w:tcPr>
            <w:tcW w:w="503" w:type="dxa"/>
            <w:vMerge w:val="continue"/>
            <w:vAlign w:val="center"/>
          </w:tcPr>
          <w:p>
            <w:pPr>
              <w:spacing w:line="280" w:lineRule="exact"/>
              <w:jc w:val="left"/>
              <w:rPr>
                <w:rFonts w:ascii="宋体" w:hAnsi="宋体" w:eastAsia="宋体" w:cs="宋体"/>
                <w:kern w:val="0"/>
                <w:sz w:val="18"/>
                <w:szCs w:val="18"/>
              </w:rPr>
            </w:pPr>
          </w:p>
        </w:tc>
        <w:tc>
          <w:tcPr>
            <w:tcW w:w="503" w:type="dxa"/>
            <w:vMerge w:val="continue"/>
            <w:vAlign w:val="center"/>
          </w:tcPr>
          <w:p>
            <w:pPr>
              <w:spacing w:line="280" w:lineRule="exact"/>
              <w:jc w:val="left"/>
              <w:rPr>
                <w:rFonts w:ascii="宋体" w:hAnsi="宋体" w:eastAsia="宋体" w:cs="宋体"/>
                <w:kern w:val="0"/>
                <w:sz w:val="18"/>
                <w:szCs w:val="18"/>
              </w:rPr>
            </w:pPr>
          </w:p>
        </w:tc>
        <w:tc>
          <w:tcPr>
            <w:tcW w:w="503" w:type="dxa"/>
            <w:gridSpan w:val="2"/>
            <w:vMerge w:val="continue"/>
            <w:vAlign w:val="center"/>
          </w:tcPr>
          <w:p>
            <w:pPr>
              <w:spacing w:line="280" w:lineRule="exact"/>
              <w:jc w:val="left"/>
              <w:rPr>
                <w:rFonts w:ascii="宋体" w:hAnsi="宋体" w:eastAsia="宋体" w:cs="宋体"/>
                <w:kern w:val="0"/>
                <w:sz w:val="18"/>
                <w:szCs w:val="18"/>
              </w:rPr>
            </w:pPr>
          </w:p>
        </w:tc>
        <w:tc>
          <w:tcPr>
            <w:tcW w:w="503" w:type="dxa"/>
            <w:gridSpan w:val="2"/>
            <w:vMerge w:val="continue"/>
            <w:vAlign w:val="center"/>
          </w:tcPr>
          <w:p>
            <w:pPr>
              <w:spacing w:line="280" w:lineRule="exact"/>
              <w:jc w:val="left"/>
              <w:rPr>
                <w:rFonts w:ascii="宋体" w:hAnsi="宋体" w:eastAsia="宋体" w:cs="宋体"/>
                <w:kern w:val="0"/>
                <w:sz w:val="18"/>
                <w:szCs w:val="18"/>
              </w:rPr>
            </w:pPr>
          </w:p>
        </w:tc>
        <w:tc>
          <w:tcPr>
            <w:tcW w:w="783" w:type="dxa"/>
            <w:gridSpan w:val="2"/>
            <w:vAlign w:val="center"/>
          </w:tcPr>
          <w:p>
            <w:pPr>
              <w:spacing w:line="280" w:lineRule="exact"/>
              <w:jc w:val="center"/>
              <w:rPr>
                <w:rFonts w:ascii="宋体" w:hAnsi="宋体" w:eastAsia="宋体" w:cs="宋体"/>
                <w:kern w:val="0"/>
                <w:sz w:val="18"/>
                <w:szCs w:val="18"/>
              </w:rPr>
            </w:pPr>
            <w:r>
              <w:rPr>
                <w:rFonts w:hint="eastAsia" w:ascii="宋体" w:hAnsi="宋体" w:eastAsia="宋体" w:cs="宋体"/>
                <w:kern w:val="0"/>
                <w:sz w:val="18"/>
                <w:szCs w:val="18"/>
              </w:rPr>
              <w:t>社会公众或服务对象满意度</w:t>
            </w:r>
          </w:p>
        </w:tc>
        <w:tc>
          <w:tcPr>
            <w:tcW w:w="517" w:type="dxa"/>
            <w:vAlign w:val="center"/>
          </w:tcPr>
          <w:p>
            <w:pPr>
              <w:spacing w:line="280" w:lineRule="exact"/>
              <w:jc w:val="center"/>
              <w:rPr>
                <w:rFonts w:ascii="宋体" w:hAnsi="宋体" w:eastAsia="宋体" w:cs="宋体"/>
                <w:kern w:val="0"/>
                <w:sz w:val="18"/>
                <w:szCs w:val="18"/>
              </w:rPr>
            </w:pPr>
            <w:r>
              <w:rPr>
                <w:rFonts w:ascii="宋体" w:hAnsi="宋体" w:eastAsia="宋体" w:cs="宋体"/>
                <w:kern w:val="0"/>
                <w:sz w:val="18"/>
                <w:szCs w:val="18"/>
              </w:rPr>
              <w:t>6</w:t>
            </w:r>
          </w:p>
        </w:tc>
        <w:tc>
          <w:tcPr>
            <w:tcW w:w="2483" w:type="dxa"/>
            <w:gridSpan w:val="4"/>
            <w:vAlign w:val="center"/>
          </w:tcPr>
          <w:p>
            <w:pPr>
              <w:spacing w:line="280" w:lineRule="exact"/>
              <w:jc w:val="left"/>
              <w:rPr>
                <w:rFonts w:ascii="宋体" w:hAnsi="宋体" w:eastAsia="宋体" w:cs="宋体"/>
                <w:kern w:val="0"/>
                <w:sz w:val="18"/>
                <w:szCs w:val="18"/>
              </w:rPr>
            </w:pPr>
            <w:r>
              <w:rPr>
                <w:rFonts w:ascii="宋体" w:hAnsi="宋体" w:eastAsia="宋体" w:cs="宋体"/>
                <w:kern w:val="0"/>
                <w:sz w:val="18"/>
                <w:szCs w:val="18"/>
              </w:rPr>
              <w:t>90%</w:t>
            </w:r>
            <w:r>
              <w:rPr>
                <w:rFonts w:hint="eastAsia" w:ascii="宋体" w:hAnsi="宋体" w:eastAsia="宋体" w:cs="宋体"/>
                <w:kern w:val="0"/>
                <w:sz w:val="18"/>
                <w:szCs w:val="18"/>
              </w:rPr>
              <w:t>（含）以上计</w:t>
            </w:r>
            <w:r>
              <w:rPr>
                <w:rFonts w:ascii="宋体" w:hAnsi="宋体" w:eastAsia="宋体" w:cs="宋体"/>
                <w:kern w:val="0"/>
                <w:sz w:val="18"/>
                <w:szCs w:val="18"/>
              </w:rPr>
              <w:t>6</w:t>
            </w:r>
            <w:r>
              <w:rPr>
                <w:rFonts w:hint="eastAsia" w:ascii="宋体" w:hAnsi="宋体" w:eastAsia="宋体" w:cs="宋体"/>
                <w:kern w:val="0"/>
                <w:sz w:val="18"/>
                <w:szCs w:val="18"/>
              </w:rPr>
              <w:t>分；</w:t>
            </w:r>
            <w:r>
              <w:rPr>
                <w:rFonts w:ascii="宋体" w:hAnsi="宋体" w:eastAsia="宋体" w:cs="宋体"/>
                <w:kern w:val="0"/>
                <w:sz w:val="18"/>
                <w:szCs w:val="18"/>
              </w:rPr>
              <w:br w:type="textWrapping"/>
            </w:r>
            <w:r>
              <w:rPr>
                <w:rFonts w:ascii="宋体" w:hAnsi="宋体" w:eastAsia="宋体" w:cs="宋体"/>
                <w:kern w:val="0"/>
                <w:sz w:val="18"/>
                <w:szCs w:val="18"/>
              </w:rPr>
              <w:t>80%</w:t>
            </w:r>
            <w:r>
              <w:rPr>
                <w:rFonts w:hint="eastAsia" w:ascii="宋体" w:hAnsi="宋体" w:eastAsia="宋体" w:cs="宋体"/>
                <w:kern w:val="0"/>
                <w:sz w:val="18"/>
                <w:szCs w:val="18"/>
              </w:rPr>
              <w:t>（含）</w:t>
            </w:r>
            <w:r>
              <w:rPr>
                <w:rFonts w:ascii="宋体" w:hAnsi="宋体" w:eastAsia="宋体" w:cs="宋体"/>
                <w:kern w:val="0"/>
                <w:sz w:val="18"/>
                <w:szCs w:val="18"/>
              </w:rPr>
              <w:t>-90%</w:t>
            </w:r>
            <w:r>
              <w:rPr>
                <w:rFonts w:hint="eastAsia" w:ascii="宋体" w:hAnsi="宋体" w:eastAsia="宋体" w:cs="宋体"/>
                <w:kern w:val="0"/>
                <w:sz w:val="18"/>
                <w:szCs w:val="18"/>
              </w:rPr>
              <w:t>，计</w:t>
            </w:r>
            <w:r>
              <w:rPr>
                <w:rFonts w:ascii="宋体" w:hAnsi="宋体" w:eastAsia="宋体" w:cs="宋体"/>
                <w:kern w:val="0"/>
                <w:sz w:val="18"/>
                <w:szCs w:val="18"/>
              </w:rPr>
              <w:t>4</w:t>
            </w:r>
            <w:r>
              <w:rPr>
                <w:rFonts w:hint="eastAsia" w:ascii="宋体" w:hAnsi="宋体" w:eastAsia="宋体" w:cs="宋体"/>
                <w:kern w:val="0"/>
                <w:sz w:val="18"/>
                <w:szCs w:val="18"/>
              </w:rPr>
              <w:t>分；</w:t>
            </w:r>
            <w:r>
              <w:rPr>
                <w:rFonts w:ascii="宋体" w:hAnsi="宋体" w:eastAsia="宋体" w:cs="宋体"/>
                <w:kern w:val="0"/>
                <w:sz w:val="18"/>
                <w:szCs w:val="18"/>
              </w:rPr>
              <w:br w:type="textWrapping"/>
            </w:r>
            <w:r>
              <w:rPr>
                <w:rFonts w:ascii="宋体" w:hAnsi="宋体" w:eastAsia="宋体" w:cs="宋体"/>
                <w:kern w:val="0"/>
                <w:sz w:val="18"/>
                <w:szCs w:val="18"/>
              </w:rPr>
              <w:t>70%</w:t>
            </w:r>
            <w:r>
              <w:rPr>
                <w:rFonts w:hint="eastAsia" w:ascii="宋体" w:hAnsi="宋体" w:eastAsia="宋体" w:cs="宋体"/>
                <w:kern w:val="0"/>
                <w:sz w:val="18"/>
                <w:szCs w:val="18"/>
              </w:rPr>
              <w:t>（含）</w:t>
            </w:r>
            <w:r>
              <w:rPr>
                <w:rFonts w:ascii="宋体" w:hAnsi="宋体" w:eastAsia="宋体" w:cs="宋体"/>
                <w:kern w:val="0"/>
                <w:sz w:val="18"/>
                <w:szCs w:val="18"/>
              </w:rPr>
              <w:t>-80%</w:t>
            </w:r>
            <w:r>
              <w:rPr>
                <w:rFonts w:hint="eastAsia" w:ascii="宋体" w:hAnsi="宋体" w:eastAsia="宋体" w:cs="宋体"/>
                <w:kern w:val="0"/>
                <w:sz w:val="18"/>
                <w:szCs w:val="18"/>
              </w:rPr>
              <w:t>，计</w:t>
            </w:r>
            <w:r>
              <w:rPr>
                <w:rFonts w:ascii="宋体" w:hAnsi="宋体" w:eastAsia="宋体" w:cs="宋体"/>
                <w:kern w:val="0"/>
                <w:sz w:val="18"/>
                <w:szCs w:val="18"/>
              </w:rPr>
              <w:t>2</w:t>
            </w:r>
            <w:r>
              <w:rPr>
                <w:rFonts w:hint="eastAsia" w:ascii="宋体" w:hAnsi="宋体" w:eastAsia="宋体" w:cs="宋体"/>
                <w:kern w:val="0"/>
                <w:sz w:val="18"/>
                <w:szCs w:val="18"/>
              </w:rPr>
              <w:t>分；</w:t>
            </w:r>
            <w:r>
              <w:rPr>
                <w:rFonts w:ascii="宋体" w:hAnsi="宋体" w:eastAsia="宋体" w:cs="宋体"/>
                <w:kern w:val="0"/>
                <w:sz w:val="18"/>
                <w:szCs w:val="18"/>
              </w:rPr>
              <w:br w:type="textWrapping"/>
            </w:r>
            <w:r>
              <w:rPr>
                <w:rFonts w:hint="eastAsia" w:ascii="宋体" w:hAnsi="宋体" w:eastAsia="宋体" w:cs="宋体"/>
                <w:kern w:val="0"/>
                <w:sz w:val="18"/>
                <w:szCs w:val="18"/>
              </w:rPr>
              <w:t>低于</w:t>
            </w:r>
            <w:r>
              <w:rPr>
                <w:rFonts w:ascii="宋体" w:hAnsi="宋体" w:eastAsia="宋体" w:cs="宋体"/>
                <w:kern w:val="0"/>
                <w:sz w:val="18"/>
                <w:szCs w:val="18"/>
              </w:rPr>
              <w:t>70%</w:t>
            </w:r>
            <w:r>
              <w:rPr>
                <w:rFonts w:hint="eastAsia" w:ascii="宋体" w:hAnsi="宋体" w:eastAsia="宋体" w:cs="宋体"/>
                <w:kern w:val="0"/>
                <w:sz w:val="18"/>
                <w:szCs w:val="18"/>
              </w:rPr>
              <w:t>计</w:t>
            </w:r>
            <w:r>
              <w:rPr>
                <w:rFonts w:ascii="宋体" w:hAnsi="宋体" w:eastAsia="宋体" w:cs="宋体"/>
                <w:kern w:val="0"/>
                <w:sz w:val="18"/>
                <w:szCs w:val="18"/>
              </w:rPr>
              <w:t>0</w:t>
            </w:r>
            <w:r>
              <w:rPr>
                <w:rFonts w:hint="eastAsia" w:ascii="宋体" w:hAnsi="宋体" w:eastAsia="宋体" w:cs="宋体"/>
                <w:kern w:val="0"/>
                <w:sz w:val="18"/>
                <w:szCs w:val="18"/>
              </w:rPr>
              <w:t>分。</w:t>
            </w:r>
          </w:p>
        </w:tc>
        <w:tc>
          <w:tcPr>
            <w:tcW w:w="2673" w:type="dxa"/>
            <w:gridSpan w:val="3"/>
            <w:vAlign w:val="center"/>
          </w:tcPr>
          <w:p>
            <w:pPr>
              <w:spacing w:line="280" w:lineRule="exact"/>
              <w:jc w:val="left"/>
              <w:rPr>
                <w:rFonts w:ascii="宋体" w:hAnsi="宋体" w:eastAsia="宋体" w:cs="宋体"/>
                <w:kern w:val="0"/>
                <w:sz w:val="18"/>
                <w:szCs w:val="18"/>
              </w:rPr>
            </w:pPr>
            <w:r>
              <w:rPr>
                <w:rFonts w:hint="eastAsia" w:ascii="宋体" w:hAnsi="宋体" w:eastAsia="宋体" w:cs="宋体"/>
                <w:kern w:val="0"/>
                <w:sz w:val="18"/>
                <w:szCs w:val="18"/>
              </w:rPr>
              <w:t>社会公众或服务对象是指部门（单位）履行职责而影响到的部门、群体或个人，一般采取社会调查的方式。</w:t>
            </w:r>
          </w:p>
        </w:tc>
        <w:tc>
          <w:tcPr>
            <w:tcW w:w="875" w:type="dxa"/>
            <w:vAlign w:val="center"/>
          </w:tcPr>
          <w:p>
            <w:pPr>
              <w:spacing w:line="280" w:lineRule="exact"/>
              <w:jc w:val="center"/>
              <w:rPr>
                <w:rFonts w:ascii="宋体" w:hAnsi="宋体" w:eastAsia="宋体" w:cs="宋体"/>
                <w:color w:val="000000"/>
                <w:kern w:val="0"/>
                <w:sz w:val="18"/>
                <w:szCs w:val="18"/>
              </w:rPr>
            </w:pPr>
            <w:r>
              <w:rPr>
                <w:rFonts w:ascii="宋体" w:hAnsi="宋体" w:eastAsia="宋体" w:cs="宋体"/>
                <w:kern w:val="0"/>
                <w:sz w:val="18"/>
                <w:szCs w:val="18"/>
              </w:rPr>
              <w:t>6</w:t>
            </w:r>
            <w:r>
              <w:rPr>
                <w:rFonts w:hint="eastAsia" w:ascii="宋体" w:hAnsi="宋体" w:eastAsia="宋体" w:cs="宋体"/>
                <w:kern w:val="0"/>
                <w:sz w:val="18"/>
                <w:szCs w:val="18"/>
              </w:rPr>
              <w:t>　</w:t>
            </w:r>
            <w:r>
              <w:rPr>
                <w:rFonts w:ascii="宋体" w:hAnsi="宋体" w:eastAsia="宋体" w:cs="宋体"/>
                <w:kern w:val="0"/>
                <w:sz w:val="18"/>
                <w:szCs w:val="18"/>
                <w:shd w:val="clear" w:color="auto" w:fill="FFFFFF"/>
              </w:rPr>
              <w:fldChar w:fldCharType="begin">
                <w:fldData xml:space="preserve">QgAzADUAMgBGADUAMgBDADkAMAAzADAANAA1ADMAOABCADAARgA0ADAANAA5AEEAOQA0AEUAMgA0
ADQARQAxAP8A
</w:fldData>
              </w:fldChar>
            </w:r>
            <w:r>
              <w:rPr>
                <w:rFonts w:ascii="宋体" w:hAnsi="宋体" w:eastAsia="宋体" w:cs="宋体"/>
                <w:kern w:val="0"/>
                <w:sz w:val="18"/>
                <w:szCs w:val="18"/>
                <w:shd w:val="clear" w:color="auto" w:fill="FFFFFF"/>
              </w:rPr>
              <w:instrText xml:space="preserve">Addin PF16</w:instrText>
            </w:r>
            <w:r>
              <w:rPr>
                <w:rFonts w:ascii="宋体" w:hAnsi="宋体" w:eastAsia="宋体" w:cs="宋体"/>
                <w:kern w:val="0"/>
                <w:sz w:val="18"/>
                <w:szCs w:val="18"/>
                <w:shd w:val="clear" w:color="auto" w:fill="FFFFFF"/>
              </w:rPr>
              <w:fldChar w:fldCharType="end"/>
            </w:r>
          </w:p>
        </w:tc>
      </w:tr>
    </w:tbl>
    <w:p>
      <w:pPr>
        <w:adjustRightInd w:val="0"/>
        <w:snapToGrid w:val="0"/>
        <w:spacing w:line="600" w:lineRule="exact"/>
        <w:jc w:val="center"/>
        <w:rPr>
          <w:rFonts w:ascii="Times New Roman" w:hAnsi="Times New Roman" w:eastAsia="方正小标宋简体"/>
          <w:bCs/>
          <w:color w:val="000000"/>
          <w:kern w:val="0"/>
          <w:sz w:val="36"/>
          <w:szCs w:val="36"/>
        </w:rPr>
      </w:pPr>
    </w:p>
    <w:p>
      <w:pPr>
        <w:adjustRightInd w:val="0"/>
        <w:snapToGrid w:val="0"/>
        <w:spacing w:line="600" w:lineRule="exact"/>
        <w:jc w:val="center"/>
        <w:rPr>
          <w:rFonts w:ascii="Times New Roman" w:hAnsi="Times New Roman" w:eastAsia="方正小标宋简体"/>
          <w:bCs/>
          <w:color w:val="000000"/>
          <w:kern w:val="0"/>
          <w:sz w:val="36"/>
          <w:szCs w:val="36"/>
        </w:rPr>
      </w:pPr>
    </w:p>
    <w:p>
      <w:pPr>
        <w:adjustRightInd w:val="0"/>
        <w:snapToGrid w:val="0"/>
        <w:spacing w:line="600" w:lineRule="exact"/>
        <w:jc w:val="center"/>
        <w:rPr>
          <w:rFonts w:ascii="Times New Roman" w:hAnsi="Times New Roman" w:eastAsia="方正小标宋简体"/>
          <w:bCs/>
          <w:color w:val="000000"/>
          <w:kern w:val="0"/>
          <w:sz w:val="36"/>
          <w:szCs w:val="36"/>
        </w:rPr>
      </w:pPr>
    </w:p>
    <w:p>
      <w:pPr>
        <w:adjustRightInd w:val="0"/>
        <w:snapToGrid w:val="0"/>
        <w:spacing w:line="600" w:lineRule="exact"/>
        <w:jc w:val="center"/>
        <w:rPr>
          <w:rFonts w:ascii="Times New Roman" w:hAnsi="Times New Roman" w:eastAsia="方正小标宋简体"/>
          <w:bCs/>
          <w:color w:val="000000"/>
          <w:kern w:val="0"/>
          <w:sz w:val="36"/>
          <w:szCs w:val="36"/>
        </w:rPr>
      </w:pPr>
    </w:p>
    <w:p>
      <w:pPr>
        <w:spacing w:line="600" w:lineRule="exact"/>
        <w:jc w:val="left"/>
        <w:rPr>
          <w:rFonts w:ascii="黑体" w:hAnsi="黑体" w:eastAsia="黑体" w:cs="黑体"/>
          <w:kern w:val="0"/>
        </w:rPr>
      </w:pPr>
      <w:r>
        <w:rPr>
          <w:rFonts w:hint="eastAsia" w:ascii="黑体" w:hAnsi="黑体" w:eastAsia="黑体" w:cs="黑体"/>
          <w:kern w:val="0"/>
        </w:rPr>
        <w:t>附件</w:t>
      </w:r>
      <w:r>
        <w:rPr>
          <w:rFonts w:ascii="黑体" w:hAnsi="黑体" w:eastAsia="黑体" w:cs="黑体"/>
          <w:kern w:val="0"/>
        </w:rPr>
        <w:t>3</w:t>
      </w:r>
    </w:p>
    <w:p>
      <w:pPr>
        <w:spacing w:line="600" w:lineRule="exact"/>
        <w:jc w:val="center"/>
        <w:rPr>
          <w:rFonts w:ascii="Times New Roman" w:hAnsi="Times New Roman" w:eastAsia="方正小标宋简体"/>
          <w:sz w:val="36"/>
          <w:szCs w:val="36"/>
        </w:rPr>
      </w:pPr>
    </w:p>
    <w:p>
      <w:pPr>
        <w:spacing w:line="600" w:lineRule="exact"/>
        <w:jc w:val="center"/>
        <w:rPr>
          <w:rFonts w:ascii="方正小标宋简体" w:hAnsi="方正小标宋_GBK" w:eastAsia="方正小标宋简体" w:cs="方正小标宋_GBK"/>
          <w:sz w:val="44"/>
          <w:szCs w:val="44"/>
        </w:rPr>
      </w:pPr>
      <w:r>
        <w:rPr>
          <w:rFonts w:ascii="方正小标宋简体" w:hAnsi="仿宋" w:eastAsia="方正小标宋简体" w:cs="仿宋"/>
          <w:sz w:val="44"/>
          <w:szCs w:val="44"/>
        </w:rPr>
        <w:t>2019</w:t>
      </w:r>
      <w:r>
        <w:rPr>
          <w:rFonts w:hint="eastAsia" w:ascii="方正小标宋简体" w:hAnsi="方正小标宋_GBK" w:eastAsia="方正小标宋简体" w:cs="方正小标宋_GBK"/>
          <w:sz w:val="44"/>
          <w:szCs w:val="44"/>
        </w:rPr>
        <w:t>年度</w:t>
      </w:r>
      <w:r>
        <w:rPr>
          <w:rFonts w:hint="eastAsia" w:ascii="方正小标宋简体" w:hAnsi="仿宋" w:eastAsia="方正小标宋简体" w:cs="仿宋"/>
          <w:sz w:val="44"/>
          <w:szCs w:val="44"/>
        </w:rPr>
        <w:t>区政府办</w:t>
      </w:r>
      <w:r>
        <w:rPr>
          <w:rFonts w:hint="eastAsia" w:ascii="方正小标宋简体" w:hAnsi="方正小标宋_GBK" w:eastAsia="方正小标宋简体" w:cs="方正小标宋_GBK"/>
          <w:sz w:val="44"/>
          <w:szCs w:val="44"/>
        </w:rPr>
        <w:t>整体支出预算绩效</w:t>
      </w:r>
    </w:p>
    <w:p>
      <w:pPr>
        <w:spacing w:line="600" w:lineRule="exact"/>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rPr>
        <w:t>自评报告</w:t>
      </w:r>
    </w:p>
    <w:p>
      <w:pPr>
        <w:spacing w:line="600" w:lineRule="exact"/>
        <w:jc w:val="center"/>
        <w:rPr>
          <w:rFonts w:ascii="Times New Roman" w:hAnsi="Times New Roman"/>
        </w:rPr>
      </w:pPr>
    </w:p>
    <w:p>
      <w:pPr>
        <w:spacing w:line="600" w:lineRule="exact"/>
        <w:ind w:firstLine="640" w:firstLineChars="200"/>
        <w:rPr>
          <w:rFonts w:ascii="Times New Roman" w:hAnsi="Times New Roman" w:eastAsia="黑体"/>
        </w:rPr>
      </w:pPr>
      <w:r>
        <w:rPr>
          <w:rFonts w:hint="eastAsia" w:ascii="Times New Roman" w:hAnsi="Times New Roman" w:eastAsia="黑体"/>
        </w:rPr>
        <w:t>一、部门（单位）基本情况</w:t>
      </w:r>
    </w:p>
    <w:p>
      <w:pPr>
        <w:spacing w:line="600" w:lineRule="exact"/>
        <w:ind w:firstLine="640" w:firstLineChars="200"/>
        <w:rPr>
          <w:rFonts w:hAnsi="Times New Roman"/>
        </w:rPr>
      </w:pPr>
      <w:r>
        <w:rPr>
          <w:rFonts w:hint="eastAsia" w:hAnsi="Times New Roman"/>
        </w:rPr>
        <w:t>长沙市望城区人民政府办公室是区政府的综合协调部门和办事机构，为正科级行政单位，其主要职能职责：</w:t>
      </w:r>
    </w:p>
    <w:p>
      <w:pPr>
        <w:spacing w:line="600" w:lineRule="exact"/>
        <w:ind w:firstLine="640" w:firstLineChars="200"/>
        <w:rPr>
          <w:rFonts w:hAnsi="Times New Roman"/>
        </w:rPr>
      </w:pPr>
      <w:r>
        <w:rPr>
          <w:rFonts w:hAnsi="Times New Roman"/>
        </w:rPr>
        <w:t>1.</w:t>
      </w:r>
      <w:r>
        <w:rPr>
          <w:rFonts w:hint="eastAsia" w:hAnsi="Times New Roman"/>
        </w:rPr>
        <w:t>协助区政府领导同志审核或组织起草以区政府、区政府办公室名义发布的公文；负责区政府的文件收发、分送、催办、传阅、清退、立卷、归档等文书处理工作。</w:t>
      </w:r>
    </w:p>
    <w:p>
      <w:pPr>
        <w:spacing w:line="600" w:lineRule="exact"/>
        <w:ind w:firstLine="640" w:firstLineChars="200"/>
        <w:rPr>
          <w:rFonts w:hAnsi="Times New Roman"/>
        </w:rPr>
      </w:pPr>
      <w:r>
        <w:rPr>
          <w:rFonts w:hAnsi="Times New Roman"/>
        </w:rPr>
        <w:t>2.</w:t>
      </w:r>
      <w:r>
        <w:rPr>
          <w:rFonts w:hint="eastAsia" w:hAnsi="Times New Roman"/>
        </w:rPr>
        <w:t>负责统筹安排区政府领导同志日常工作，负责区政府会议、区政府党级会议和区政府领导同志重要活动的组织安排，负责或参与上级党政机构领导同志、上级党政机关各部门领导，外省市领导、其他县（市）区领导以及重要外宾来望城政务活动组织安排。</w:t>
      </w:r>
    </w:p>
    <w:p>
      <w:pPr>
        <w:spacing w:line="600" w:lineRule="exact"/>
        <w:ind w:firstLine="640" w:firstLineChars="200"/>
        <w:rPr>
          <w:rFonts w:hAnsi="Times New Roman"/>
        </w:rPr>
      </w:pPr>
      <w:r>
        <w:rPr>
          <w:rFonts w:hAnsi="Times New Roman"/>
        </w:rPr>
        <w:t>3.</w:t>
      </w:r>
      <w:r>
        <w:rPr>
          <w:rFonts w:hint="eastAsia" w:hAnsi="Times New Roman"/>
        </w:rPr>
        <w:t>协助区政府领导处理日常事务，组织协调各部门各乡镇（街道）之间的关系。</w:t>
      </w:r>
    </w:p>
    <w:p>
      <w:pPr>
        <w:spacing w:line="600" w:lineRule="exact"/>
        <w:ind w:firstLine="640" w:firstLineChars="200"/>
        <w:rPr>
          <w:rFonts w:hAnsi="Times New Roman"/>
        </w:rPr>
      </w:pPr>
      <w:r>
        <w:rPr>
          <w:rFonts w:hAnsi="Times New Roman"/>
        </w:rPr>
        <w:t>4.</w:t>
      </w:r>
      <w:r>
        <w:rPr>
          <w:rFonts w:hint="eastAsia" w:hAnsi="Times New Roman"/>
        </w:rPr>
        <w:t>负责区政府政务值班工作，做好突发事件信息的收集、整理、反馈和上报；负责接收、发放区内会议通知；负责区政府办人民群众来信来访接待工作。</w:t>
      </w:r>
    </w:p>
    <w:p>
      <w:pPr>
        <w:spacing w:line="600" w:lineRule="exact"/>
        <w:ind w:firstLine="640" w:firstLineChars="200"/>
        <w:rPr>
          <w:rFonts w:hAnsi="Times New Roman"/>
        </w:rPr>
      </w:pPr>
      <w:r>
        <w:rPr>
          <w:rFonts w:hAnsi="Times New Roman"/>
        </w:rPr>
        <w:t>5.</w:t>
      </w:r>
      <w:r>
        <w:rPr>
          <w:rFonts w:hint="eastAsia" w:hAnsi="Times New Roman"/>
        </w:rPr>
        <w:t>负责区政府领导的讲话等文稿，收集、整理、传递政务信息，为区政府领导决策和指导工作提供信息服务。</w:t>
      </w:r>
    </w:p>
    <w:p>
      <w:pPr>
        <w:spacing w:line="600" w:lineRule="exact"/>
        <w:ind w:firstLine="640" w:firstLineChars="200"/>
        <w:rPr>
          <w:rFonts w:hAnsi="Times New Roman"/>
        </w:rPr>
      </w:pPr>
      <w:r>
        <w:rPr>
          <w:rFonts w:hAnsi="Times New Roman"/>
        </w:rPr>
        <w:t>6.</w:t>
      </w:r>
      <w:r>
        <w:rPr>
          <w:rFonts w:hint="eastAsia" w:hAnsi="Times New Roman"/>
        </w:rPr>
        <w:t>督促检查重要工作以及公文、会议议定事项和区政府领导同志有关批示的执行落实情况，并跟踪调研，及时向区政府报告。</w:t>
      </w:r>
    </w:p>
    <w:p>
      <w:pPr>
        <w:spacing w:line="600" w:lineRule="exact"/>
        <w:ind w:firstLine="640" w:firstLineChars="200"/>
        <w:rPr>
          <w:rFonts w:hAnsi="Times New Roman"/>
        </w:rPr>
      </w:pPr>
      <w:r>
        <w:rPr>
          <w:rFonts w:hAnsi="Times New Roman"/>
        </w:rPr>
        <w:t>7.</w:t>
      </w:r>
      <w:r>
        <w:rPr>
          <w:rFonts w:hint="eastAsia" w:hAnsi="Times New Roman"/>
        </w:rPr>
        <w:t>负责组织区政府有关部门办理和答复人大代表建议和政协委员提案。</w:t>
      </w:r>
    </w:p>
    <w:p>
      <w:pPr>
        <w:spacing w:line="600" w:lineRule="exact"/>
        <w:ind w:firstLine="640" w:firstLineChars="200"/>
        <w:rPr>
          <w:rFonts w:hAnsi="Times New Roman"/>
        </w:rPr>
      </w:pPr>
      <w:r>
        <w:rPr>
          <w:rFonts w:hAnsi="Times New Roman"/>
        </w:rPr>
        <w:t>8.</w:t>
      </w:r>
      <w:r>
        <w:rPr>
          <w:rFonts w:hint="eastAsia" w:hAnsi="Times New Roman"/>
        </w:rPr>
        <w:t>负责征地拆迁行政职能。</w:t>
      </w:r>
    </w:p>
    <w:p>
      <w:pPr>
        <w:spacing w:line="600" w:lineRule="exact"/>
        <w:ind w:firstLine="640" w:firstLineChars="200"/>
        <w:rPr>
          <w:rFonts w:hAnsi="Times New Roman"/>
        </w:rPr>
      </w:pPr>
      <w:r>
        <w:rPr>
          <w:rFonts w:hAnsi="Times New Roman"/>
        </w:rPr>
        <w:t>9.</w:t>
      </w:r>
      <w:r>
        <w:rPr>
          <w:rFonts w:hint="eastAsia" w:hAnsi="Times New Roman"/>
        </w:rPr>
        <w:t>办理上级部门和区委、区人民政府交办的其他事项。</w:t>
      </w:r>
    </w:p>
    <w:p>
      <w:pPr>
        <w:spacing w:line="600" w:lineRule="exact"/>
        <w:ind w:firstLine="640" w:firstLineChars="200"/>
        <w:rPr>
          <w:rFonts w:hAnsi="Times New Roman"/>
        </w:rPr>
      </w:pPr>
      <w:r>
        <w:rPr>
          <w:rFonts w:hint="eastAsia" w:hAnsi="Times New Roman"/>
        </w:rPr>
        <w:t>办公室下设行政科、秘书一科、秘书二科、区政府督查室、区政府政务值班室、区政府研究室</w:t>
      </w:r>
      <w:r>
        <w:rPr>
          <w:rFonts w:hAnsi="Times New Roman"/>
        </w:rPr>
        <w:t>6</w:t>
      </w:r>
      <w:r>
        <w:rPr>
          <w:rFonts w:hint="eastAsia" w:hAnsi="Times New Roman"/>
        </w:rPr>
        <w:t>个科室。</w:t>
      </w:r>
    </w:p>
    <w:p>
      <w:pPr>
        <w:spacing w:line="600" w:lineRule="exact"/>
        <w:ind w:firstLine="640" w:firstLineChars="200"/>
        <w:rPr>
          <w:rFonts w:hAnsi="Times New Roman"/>
        </w:rPr>
      </w:pPr>
      <w:r>
        <w:rPr>
          <w:rFonts w:hint="eastAsia" w:hAnsi="Times New Roman"/>
        </w:rPr>
        <w:t>经区委编办核定人员编制</w:t>
      </w:r>
      <w:r>
        <w:rPr>
          <w:rFonts w:hAnsi="Times New Roman"/>
        </w:rPr>
        <w:t>47</w:t>
      </w:r>
      <w:r>
        <w:rPr>
          <w:rFonts w:hint="eastAsia" w:hAnsi="Times New Roman"/>
        </w:rPr>
        <w:t>人，其中行政编制</w:t>
      </w:r>
      <w:r>
        <w:rPr>
          <w:rFonts w:hAnsi="Times New Roman"/>
        </w:rPr>
        <w:t>40</w:t>
      </w:r>
      <w:r>
        <w:rPr>
          <w:rFonts w:hint="eastAsia" w:hAnsi="Times New Roman"/>
        </w:rPr>
        <w:t>人、工勤编制</w:t>
      </w:r>
      <w:r>
        <w:rPr>
          <w:rFonts w:hAnsi="Times New Roman"/>
        </w:rPr>
        <w:t>7</w:t>
      </w:r>
      <w:r>
        <w:rPr>
          <w:rFonts w:hint="eastAsia" w:hAnsi="Times New Roman"/>
        </w:rPr>
        <w:t>人。在职干部职工</w:t>
      </w:r>
      <w:r>
        <w:rPr>
          <w:rFonts w:hAnsi="Times New Roman"/>
        </w:rPr>
        <w:t>65</w:t>
      </w:r>
      <w:r>
        <w:rPr>
          <w:rFonts w:hint="eastAsia" w:hAnsi="Times New Roman"/>
        </w:rPr>
        <w:t>人（含政策性提前退休</w:t>
      </w:r>
      <w:r>
        <w:rPr>
          <w:rFonts w:hAnsi="Times New Roman"/>
        </w:rPr>
        <w:t>1</w:t>
      </w:r>
      <w:r>
        <w:rPr>
          <w:rFonts w:hint="eastAsia" w:hAnsi="Times New Roman"/>
        </w:rPr>
        <w:t>人），临聘人员</w:t>
      </w:r>
      <w:r>
        <w:rPr>
          <w:rFonts w:hAnsi="Times New Roman"/>
        </w:rPr>
        <w:t>5</w:t>
      </w:r>
      <w:r>
        <w:rPr>
          <w:rFonts w:hint="eastAsia" w:hAnsi="Times New Roman"/>
        </w:rPr>
        <w:t>人，退休人员</w:t>
      </w:r>
      <w:r>
        <w:rPr>
          <w:rFonts w:hAnsi="Times New Roman"/>
        </w:rPr>
        <w:t>24</w:t>
      </w:r>
      <w:r>
        <w:rPr>
          <w:rFonts w:hint="eastAsia" w:hAnsi="Times New Roman"/>
        </w:rPr>
        <w:t>人，遗属</w:t>
      </w:r>
      <w:r>
        <w:rPr>
          <w:rFonts w:hAnsi="Times New Roman"/>
        </w:rPr>
        <w:t>5</w:t>
      </w:r>
      <w:r>
        <w:rPr>
          <w:rFonts w:hint="eastAsia" w:hAnsi="Times New Roman"/>
        </w:rPr>
        <w:t>人。</w:t>
      </w:r>
    </w:p>
    <w:p>
      <w:pPr>
        <w:spacing w:line="600" w:lineRule="exact"/>
        <w:ind w:firstLine="640" w:firstLineChars="200"/>
        <w:rPr>
          <w:rFonts w:ascii="Times New Roman" w:hAnsi="Times New Roman" w:eastAsia="黑体"/>
        </w:rPr>
      </w:pPr>
      <w:r>
        <w:rPr>
          <w:rFonts w:hint="eastAsia" w:ascii="Times New Roman" w:hAnsi="Times New Roman" w:eastAsia="黑体"/>
        </w:rPr>
        <w:t>二、部门（单位）预算管理及执行情况</w:t>
      </w:r>
    </w:p>
    <w:p>
      <w:pPr>
        <w:spacing w:line="600" w:lineRule="exact"/>
        <w:ind w:firstLine="640" w:firstLineChars="200"/>
        <w:rPr>
          <w:rFonts w:hAnsi="Times New Roman"/>
        </w:rPr>
      </w:pPr>
      <w:r>
        <w:rPr>
          <w:rFonts w:hint="eastAsia" w:hAnsi="Times New Roman"/>
        </w:rPr>
        <w:t>（一）预算执行情况</w:t>
      </w:r>
    </w:p>
    <w:p>
      <w:pPr>
        <w:spacing w:line="600" w:lineRule="exact"/>
        <w:ind w:firstLine="640" w:firstLineChars="200"/>
        <w:rPr>
          <w:rFonts w:hAnsi="Times New Roman"/>
        </w:rPr>
      </w:pPr>
      <w:r>
        <w:rPr>
          <w:rFonts w:hAnsi="Times New Roman"/>
        </w:rPr>
        <w:t>2019</w:t>
      </w:r>
      <w:r>
        <w:rPr>
          <w:rFonts w:hint="eastAsia" w:hAnsi="Times New Roman"/>
        </w:rPr>
        <w:t>年一般公共预算拨款收入</w:t>
      </w:r>
      <w:r>
        <w:rPr>
          <w:rFonts w:hAnsi="Times New Roman"/>
        </w:rPr>
        <w:t>2698.4</w:t>
      </w:r>
      <w:r>
        <w:rPr>
          <w:rFonts w:hint="eastAsia" w:hAnsi="Times New Roman"/>
        </w:rPr>
        <w:t>万元，一般公共预算拨款支出</w:t>
      </w:r>
      <w:r>
        <w:rPr>
          <w:rFonts w:hAnsi="Times New Roman"/>
        </w:rPr>
        <w:t>2698.4</w:t>
      </w:r>
      <w:r>
        <w:rPr>
          <w:rFonts w:hint="eastAsia" w:hAnsi="Times New Roman"/>
        </w:rPr>
        <w:t>万元。</w:t>
      </w:r>
      <w:r>
        <w:rPr>
          <w:rFonts w:hAnsi="Times New Roman"/>
        </w:rPr>
        <w:t>2019</w:t>
      </w:r>
      <w:r>
        <w:rPr>
          <w:rFonts w:hint="eastAsia" w:hAnsi="Times New Roman"/>
        </w:rPr>
        <w:t>年一般公共预算拨款决算收入</w:t>
      </w:r>
      <w:r>
        <w:rPr>
          <w:rFonts w:hAnsi="Times New Roman"/>
        </w:rPr>
        <w:t>2313.98</w:t>
      </w:r>
      <w:r>
        <w:rPr>
          <w:rFonts w:hint="eastAsia" w:hAnsi="Times New Roman"/>
        </w:rPr>
        <w:t>万元，一般公共决策拨款决算支出</w:t>
      </w:r>
      <w:r>
        <w:rPr>
          <w:rFonts w:hAnsi="Times New Roman"/>
        </w:rPr>
        <w:t>2313.98</w:t>
      </w:r>
      <w:r>
        <w:rPr>
          <w:rFonts w:hint="eastAsia" w:hAnsi="Times New Roman"/>
        </w:rPr>
        <w:t>万元。</w:t>
      </w:r>
      <w:r>
        <w:rPr>
          <w:rFonts w:hAnsi="Times New Roman"/>
        </w:rPr>
        <w:t>2019</w:t>
      </w:r>
      <w:r>
        <w:rPr>
          <w:rFonts w:hint="eastAsia" w:hAnsi="Times New Roman"/>
        </w:rPr>
        <w:t>年末追加预算，预算完成率和控制率均为</w:t>
      </w:r>
      <w:r>
        <w:rPr>
          <w:rFonts w:hAnsi="Times New Roman"/>
        </w:rPr>
        <w:t>100%</w:t>
      </w:r>
      <w:r>
        <w:rPr>
          <w:rFonts w:hint="eastAsia" w:hAnsi="Times New Roman"/>
        </w:rPr>
        <w:t>。</w:t>
      </w:r>
      <w:r>
        <w:rPr>
          <w:rFonts w:hAnsi="Times New Roman"/>
        </w:rPr>
        <w:t>2019</w:t>
      </w:r>
      <w:r>
        <w:rPr>
          <w:rFonts w:hint="eastAsia" w:hAnsi="Times New Roman"/>
        </w:rPr>
        <w:t>年部门决算较预算减少</w:t>
      </w:r>
      <w:r>
        <w:rPr>
          <w:rFonts w:hAnsi="Times New Roman"/>
        </w:rPr>
        <w:t>384.42</w:t>
      </w:r>
      <w:r>
        <w:rPr>
          <w:rFonts w:hint="eastAsia" w:hAnsi="Times New Roman"/>
        </w:rPr>
        <w:t>万元，其减少的主要原因一是机构改革，法制办经费和外事任务经费调减；二是严格落实上级“过紧日子”要求，大力压减一般性支出。</w:t>
      </w:r>
    </w:p>
    <w:p>
      <w:pPr>
        <w:spacing w:line="600" w:lineRule="exact"/>
        <w:ind w:firstLine="640" w:firstLineChars="200"/>
        <w:rPr>
          <w:rFonts w:hAnsi="Times New Roman"/>
        </w:rPr>
      </w:pPr>
      <w:r>
        <w:rPr>
          <w:rFonts w:hint="eastAsia" w:hAnsi="Times New Roman"/>
        </w:rPr>
        <w:t>政府办</w:t>
      </w:r>
      <w:r>
        <w:rPr>
          <w:rFonts w:hAnsi="Times New Roman"/>
        </w:rPr>
        <w:t>2019</w:t>
      </w:r>
      <w:r>
        <w:rPr>
          <w:rFonts w:hint="eastAsia" w:hAnsi="Times New Roman"/>
        </w:rPr>
        <w:t>年未新建楼堂馆所。</w:t>
      </w:r>
    </w:p>
    <w:p>
      <w:pPr>
        <w:spacing w:line="600" w:lineRule="exact"/>
        <w:ind w:firstLine="640" w:firstLineChars="200"/>
        <w:rPr>
          <w:rFonts w:hAnsi="Times New Roman"/>
        </w:rPr>
      </w:pPr>
      <w:r>
        <w:rPr>
          <w:rFonts w:hint="eastAsia" w:hAnsi="Times New Roman"/>
        </w:rPr>
        <w:t>（二）预算管理情况</w:t>
      </w:r>
    </w:p>
    <w:p>
      <w:pPr>
        <w:spacing w:line="600" w:lineRule="exact"/>
        <w:ind w:firstLine="640" w:firstLineChars="200"/>
        <w:rPr>
          <w:rFonts w:hAnsi="Times New Roman"/>
        </w:rPr>
      </w:pPr>
      <w:r>
        <w:rPr>
          <w:rFonts w:hAnsi="Times New Roman"/>
        </w:rPr>
        <w:t>1.</w:t>
      </w:r>
      <w:r>
        <w:rPr>
          <w:rFonts w:hint="eastAsia" w:hAnsi="Times New Roman"/>
        </w:rPr>
        <w:t>公用经费控制率。</w:t>
      </w:r>
      <w:r>
        <w:rPr>
          <w:rFonts w:hAnsi="Times New Roman"/>
        </w:rPr>
        <w:t>2019</w:t>
      </w:r>
      <w:r>
        <w:rPr>
          <w:rFonts w:hint="eastAsia" w:hAnsi="Times New Roman"/>
        </w:rPr>
        <w:t>年政府办公用经费预算</w:t>
      </w:r>
      <w:r>
        <w:rPr>
          <w:rFonts w:hAnsi="Times New Roman"/>
        </w:rPr>
        <w:t>152</w:t>
      </w:r>
      <w:r>
        <w:rPr>
          <w:rFonts w:hint="eastAsia" w:hAnsi="Times New Roman"/>
        </w:rPr>
        <w:t>万元，实际支出公用经费</w:t>
      </w:r>
      <w:r>
        <w:rPr>
          <w:rFonts w:hAnsi="Times New Roman"/>
        </w:rPr>
        <w:t>69.21</w:t>
      </w:r>
      <w:r>
        <w:rPr>
          <w:rFonts w:hint="eastAsia" w:hAnsi="Times New Roman"/>
        </w:rPr>
        <w:t>万元，公用经费控制率</w:t>
      </w:r>
      <w:r>
        <w:rPr>
          <w:rFonts w:hAnsi="Times New Roman"/>
        </w:rPr>
        <w:t>45.53%</w:t>
      </w:r>
      <w:r>
        <w:rPr>
          <w:rFonts w:hint="eastAsia" w:hAnsi="Times New Roman"/>
        </w:rPr>
        <w:t>。</w:t>
      </w:r>
    </w:p>
    <w:p>
      <w:pPr>
        <w:spacing w:line="600" w:lineRule="exact"/>
        <w:ind w:firstLine="640" w:firstLineChars="200"/>
        <w:rPr>
          <w:rFonts w:hAnsi="Times New Roman"/>
        </w:rPr>
      </w:pPr>
      <w:r>
        <w:rPr>
          <w:rFonts w:hAnsi="Times New Roman"/>
        </w:rPr>
        <w:t>2.</w:t>
      </w:r>
      <w:r>
        <w:rPr>
          <w:rFonts w:hint="eastAsia" w:hAnsi="Times New Roman"/>
        </w:rPr>
        <w:t>“三公经费”控制率。</w:t>
      </w:r>
      <w:r>
        <w:rPr>
          <w:rFonts w:hAnsi="Times New Roman"/>
        </w:rPr>
        <w:t>2019</w:t>
      </w:r>
      <w:r>
        <w:rPr>
          <w:rFonts w:hint="eastAsia" w:hAnsi="Times New Roman"/>
        </w:rPr>
        <w:t>年政府三公经费预算</w:t>
      </w:r>
      <w:r>
        <w:rPr>
          <w:rFonts w:hAnsi="Times New Roman"/>
        </w:rPr>
        <w:t>35</w:t>
      </w:r>
      <w:r>
        <w:rPr>
          <w:rFonts w:hint="eastAsia" w:hAnsi="Times New Roman"/>
        </w:rPr>
        <w:t>万元，“三公经费”实际支出</w:t>
      </w:r>
      <w:r>
        <w:rPr>
          <w:rFonts w:hAnsi="Times New Roman"/>
        </w:rPr>
        <w:t>8.37</w:t>
      </w:r>
      <w:r>
        <w:rPr>
          <w:rFonts w:hint="eastAsia" w:hAnsi="Times New Roman"/>
        </w:rPr>
        <w:t>万元，“三公经费”控制率</w:t>
      </w:r>
      <w:r>
        <w:rPr>
          <w:rFonts w:hAnsi="Times New Roman"/>
        </w:rPr>
        <w:t>23.91%</w:t>
      </w:r>
      <w:r>
        <w:rPr>
          <w:rFonts w:hint="eastAsia" w:hAnsi="Times New Roman"/>
        </w:rPr>
        <w:t>。</w:t>
      </w:r>
    </w:p>
    <w:p>
      <w:pPr>
        <w:spacing w:line="600" w:lineRule="exact"/>
        <w:ind w:firstLine="640" w:firstLineChars="200"/>
        <w:rPr>
          <w:rFonts w:hAnsi="Times New Roman"/>
        </w:rPr>
      </w:pPr>
      <w:r>
        <w:rPr>
          <w:rFonts w:hAnsi="Times New Roman"/>
        </w:rPr>
        <w:t>3.</w:t>
      </w:r>
      <w:r>
        <w:rPr>
          <w:rFonts w:hint="eastAsia" w:hAnsi="Times New Roman"/>
        </w:rPr>
        <w:t>政府采购执行率。</w:t>
      </w:r>
      <w:r>
        <w:rPr>
          <w:rFonts w:hAnsi="Times New Roman"/>
        </w:rPr>
        <w:t>2019</w:t>
      </w:r>
      <w:r>
        <w:rPr>
          <w:rFonts w:hint="eastAsia" w:hAnsi="Times New Roman"/>
        </w:rPr>
        <w:t>年政府办政策采购预算</w:t>
      </w:r>
      <w:r>
        <w:rPr>
          <w:rFonts w:hAnsi="Times New Roman"/>
        </w:rPr>
        <w:t>128.8</w:t>
      </w:r>
      <w:r>
        <w:rPr>
          <w:rFonts w:hint="eastAsia" w:hAnsi="Times New Roman"/>
        </w:rPr>
        <w:t>万，实际政府采购</w:t>
      </w:r>
      <w:r>
        <w:rPr>
          <w:rFonts w:hAnsi="Times New Roman"/>
        </w:rPr>
        <w:t>15.98</w:t>
      </w:r>
      <w:r>
        <w:rPr>
          <w:rFonts w:hint="eastAsia" w:hAnsi="Times New Roman"/>
        </w:rPr>
        <w:t>万元，政府采购执行率</w:t>
      </w:r>
      <w:r>
        <w:rPr>
          <w:rFonts w:hAnsi="Times New Roman"/>
        </w:rPr>
        <w:t>12.41%</w:t>
      </w:r>
      <w:r>
        <w:rPr>
          <w:rFonts w:hint="eastAsia" w:hAnsi="Times New Roman"/>
        </w:rPr>
        <w:t>。</w:t>
      </w:r>
    </w:p>
    <w:p>
      <w:pPr>
        <w:spacing w:line="600" w:lineRule="exact"/>
        <w:ind w:firstLine="640" w:firstLineChars="200"/>
        <w:rPr>
          <w:rFonts w:hAnsi="Times New Roman"/>
        </w:rPr>
      </w:pPr>
      <w:r>
        <w:rPr>
          <w:rFonts w:hAnsi="Times New Roman"/>
        </w:rPr>
        <w:t>4.</w:t>
      </w:r>
      <w:r>
        <w:rPr>
          <w:rFonts w:hint="eastAsia" w:hAnsi="Times New Roman"/>
        </w:rPr>
        <w:t>管理制度健全性。我单位财务管理严格依法依规，做到公开公平公正，严格执行各项有关法律法规、财经纪律、财务规章制度和预（决）算、政府采购、国库集中支付、专项资金等管理办法和操作规程。单位为规范财务管理，建立健全财务管理制度，制定了如《区政府办财务管理制度》、《区政府办政府采购管理制度》、《区政府办固定资产管理制度》、《望城区政府办公务出行用车制度》等一系列合法合规、较为完整的业务及财务管理制度。各项管理制度健全，财务管理规范，相关管理制度得到有效的执行。</w:t>
      </w:r>
    </w:p>
    <w:p>
      <w:pPr>
        <w:spacing w:line="600" w:lineRule="exact"/>
        <w:ind w:firstLine="640" w:firstLineChars="200"/>
        <w:rPr>
          <w:rFonts w:hAnsi="Times New Roman"/>
        </w:rPr>
      </w:pPr>
      <w:r>
        <w:rPr>
          <w:rFonts w:hAnsi="Times New Roman"/>
        </w:rPr>
        <w:t>5.</w:t>
      </w:r>
      <w:r>
        <w:rPr>
          <w:rFonts w:hint="eastAsia" w:hAnsi="Times New Roman"/>
        </w:rPr>
        <w:t>资金使用合规性。资金的支付符合国家财经法规和财务管理制度规定，以及有关专项资金管理办法的规定；资金拨付有完整的审批程序和手续；经费支出符合部门预算批复的用途；资金使用无截留、挪用、虚列支出等情况。</w:t>
      </w:r>
    </w:p>
    <w:p>
      <w:pPr>
        <w:spacing w:line="600" w:lineRule="exact"/>
        <w:ind w:firstLine="640" w:firstLineChars="200"/>
        <w:rPr>
          <w:rFonts w:hAnsi="Times New Roman"/>
        </w:rPr>
      </w:pPr>
      <w:r>
        <w:rPr>
          <w:rFonts w:hAnsi="Times New Roman"/>
        </w:rPr>
        <w:t>6.</w:t>
      </w:r>
      <w:r>
        <w:rPr>
          <w:rFonts w:hint="eastAsia" w:hAnsi="Times New Roman"/>
        </w:rPr>
        <w:t>预决算信息公开性。部门预算信息按规定内容，在规定的时限内予以公开。基础数据信息和会计信息资料真实、完整、准确。</w:t>
      </w:r>
    </w:p>
    <w:p>
      <w:pPr>
        <w:spacing w:line="600" w:lineRule="exact"/>
        <w:ind w:firstLine="640" w:firstLineChars="200"/>
        <w:rPr>
          <w:rFonts w:ascii="Times New Roman" w:hAnsi="Times New Roman" w:eastAsia="黑体"/>
        </w:rPr>
      </w:pPr>
      <w:r>
        <w:rPr>
          <w:rFonts w:hint="eastAsia" w:ascii="Times New Roman" w:hAnsi="Times New Roman" w:eastAsia="黑体"/>
        </w:rPr>
        <w:t>三、部门（单位）资产管理情况</w:t>
      </w:r>
    </w:p>
    <w:p>
      <w:pPr>
        <w:spacing w:line="600" w:lineRule="exact"/>
        <w:ind w:firstLine="640" w:firstLineChars="200"/>
        <w:rPr>
          <w:rFonts w:ascii="宋体" w:hAnsi="宋体" w:eastAsia="宋体" w:cs="宋体"/>
        </w:rPr>
      </w:pPr>
      <w:r>
        <w:rPr>
          <w:rFonts w:hint="eastAsia" w:hAnsi="Times New Roman"/>
        </w:rPr>
        <w:t>为规范固定资产的管理，提高固定资产使用效率，单位制定了固定资产管理制度和政府采购管理办法，制度中对机关资产配置、资产更新和购置程序、资产的日常管理和维护、资产的处置等方面做出了明确的规定。固定资产配置遵循“效益优先，按需申购，计划配置”的原则，资产增量和存量相结合、资产使用年限与科室人员编制相结合的要求，组织固定资产配置。固定资产采购按照《通用资产配置标准》、《国有资产配置管理规定》和年度采购预算批复，编制采购计划。固定资产采用信息化管理，引进物资管理系统，把所有固定资产类型、型号、价格、购入时间、使用部门和使用人、存放地点等要素录入系统，生成固定资产卡片。固定资产的处置，先由使用科室提出意见，经行政科核实并报分管财务负责人审批后，按程序报区国资局办理报废、处置和销账工作。</w:t>
      </w:r>
    </w:p>
    <w:p>
      <w:pPr>
        <w:spacing w:line="600" w:lineRule="exact"/>
        <w:ind w:firstLine="640" w:firstLineChars="200"/>
        <w:rPr>
          <w:rFonts w:ascii="Times New Roman" w:hAnsi="Times New Roman" w:eastAsia="黑体"/>
        </w:rPr>
      </w:pPr>
      <w:r>
        <w:rPr>
          <w:rFonts w:hint="eastAsia" w:ascii="Times New Roman" w:hAnsi="Times New Roman" w:eastAsia="黑体"/>
        </w:rPr>
        <w:t>四、部门（单位）整体支出绩效目标及开展情况</w:t>
      </w:r>
    </w:p>
    <w:p>
      <w:pPr>
        <w:spacing w:line="600" w:lineRule="exact"/>
        <w:ind w:firstLine="640" w:firstLineChars="200"/>
        <w:rPr>
          <w:rFonts w:hAnsi="Times New Roman"/>
        </w:rPr>
      </w:pPr>
      <w:r>
        <w:rPr>
          <w:rFonts w:hint="eastAsia" w:hAnsi="Times New Roman"/>
        </w:rPr>
        <w:t>按照预算绩效管理工作的总体要求，</w:t>
      </w:r>
      <w:r>
        <w:rPr>
          <w:rFonts w:hAnsi="Times New Roman"/>
        </w:rPr>
        <w:t>2019</w:t>
      </w:r>
      <w:r>
        <w:rPr>
          <w:rFonts w:hint="eastAsia" w:hAnsi="Times New Roman"/>
        </w:rPr>
        <w:t>年政府办预算支出</w:t>
      </w:r>
      <w:r>
        <w:rPr>
          <w:rFonts w:hAnsi="Times New Roman"/>
        </w:rPr>
        <w:t>2698.4</w:t>
      </w:r>
      <w:r>
        <w:rPr>
          <w:rFonts w:hint="eastAsia" w:hAnsi="Times New Roman"/>
        </w:rPr>
        <w:t>万元，全部实行整体支出绩效目标管理，编报绩效目标的项目</w:t>
      </w:r>
      <w:r>
        <w:rPr>
          <w:rFonts w:hAnsi="Times New Roman"/>
        </w:rPr>
        <w:t>1</w:t>
      </w:r>
      <w:r>
        <w:rPr>
          <w:rFonts w:hint="eastAsia" w:hAnsi="Times New Roman"/>
        </w:rPr>
        <w:t>个，涉及项目支出</w:t>
      </w:r>
      <w:r>
        <w:rPr>
          <w:rFonts w:hAnsi="Times New Roman"/>
        </w:rPr>
        <w:t>894</w:t>
      </w:r>
      <w:r>
        <w:rPr>
          <w:rFonts w:hint="eastAsia" w:hAnsi="Times New Roman"/>
        </w:rPr>
        <w:t>万元，其中：政务日常事务专项项目</w:t>
      </w:r>
      <w:r>
        <w:rPr>
          <w:rFonts w:hAnsi="Times New Roman"/>
        </w:rPr>
        <w:t>794</w:t>
      </w:r>
      <w:r>
        <w:rPr>
          <w:rFonts w:hint="eastAsia" w:hAnsi="Times New Roman"/>
        </w:rPr>
        <w:t>万元、法制工作经费</w:t>
      </w:r>
      <w:r>
        <w:rPr>
          <w:rFonts w:hAnsi="Times New Roman"/>
        </w:rPr>
        <w:t>100</w:t>
      </w:r>
      <w:r>
        <w:rPr>
          <w:rFonts w:hint="eastAsia" w:hAnsi="Times New Roman"/>
        </w:rPr>
        <w:t>万，全部实行项目支出绩效目标管理。</w:t>
      </w:r>
    </w:p>
    <w:p>
      <w:pPr>
        <w:spacing w:line="600" w:lineRule="exact"/>
        <w:ind w:firstLine="640" w:firstLineChars="200"/>
        <w:rPr>
          <w:rFonts w:ascii="Times New Roman" w:hAnsi="Times New Roman" w:eastAsia="黑体"/>
        </w:rPr>
      </w:pPr>
      <w:r>
        <w:rPr>
          <w:rFonts w:hint="eastAsia" w:ascii="Times New Roman" w:hAnsi="Times New Roman" w:eastAsia="黑体"/>
        </w:rPr>
        <w:t>五、部门（单位）整体支出绩效实现情况</w:t>
      </w:r>
    </w:p>
    <w:p>
      <w:pPr>
        <w:spacing w:line="600" w:lineRule="exact"/>
        <w:ind w:firstLine="643" w:firstLineChars="200"/>
        <w:rPr>
          <w:rFonts w:ascii="Times New Roman" w:hAnsi="Times New Roman"/>
          <w:b/>
        </w:rPr>
      </w:pPr>
      <w:r>
        <w:rPr>
          <w:rFonts w:hint="eastAsia" w:ascii="Times New Roman" w:hAnsi="Times New Roman"/>
          <w:b/>
        </w:rPr>
        <w:t>（一）履职完成及效果情况</w:t>
      </w:r>
    </w:p>
    <w:p>
      <w:pPr>
        <w:spacing w:line="600" w:lineRule="exact"/>
        <w:ind w:firstLine="640" w:firstLineChars="200"/>
        <w:rPr>
          <w:rFonts w:hAnsi="Times New Roman"/>
        </w:rPr>
      </w:pPr>
      <w:r>
        <w:rPr>
          <w:rFonts w:hAnsi="Times New Roman"/>
        </w:rPr>
        <w:t>1.</w:t>
      </w:r>
      <w:r>
        <w:rPr>
          <w:rFonts w:hint="eastAsia" w:hAnsi="Times New Roman"/>
        </w:rPr>
        <w:t>坚持从全区工作大局出发，牢牢抓住牵动全局的关键点和人民群众的聚集点，加强形势研究和区情分析，切实履行好参谋协助职能。紧扣实体经济发展、制造业高质量发展、产业链建设、精准扶贫、征拆安置等重大课题，深入一线开展专题调研活动，提出了一批颇具价值的对策建议，为区政府领导决策提供了科学参考。</w:t>
      </w:r>
    </w:p>
    <w:p>
      <w:pPr>
        <w:spacing w:line="600" w:lineRule="exact"/>
        <w:ind w:firstLine="640" w:firstLineChars="200"/>
        <w:rPr>
          <w:rFonts w:hAnsi="Times New Roman"/>
        </w:rPr>
      </w:pPr>
      <w:r>
        <w:rPr>
          <w:rFonts w:hAnsi="Times New Roman"/>
        </w:rPr>
        <w:t>2.</w:t>
      </w:r>
      <w:r>
        <w:rPr>
          <w:rFonts w:hint="eastAsia" w:hAnsi="Times New Roman"/>
        </w:rPr>
        <w:t>按照“高效精准”的要求，严格实行公文印制审核把关制度，规范公文审签、用印、制发等环节，强化送阅、催办、反馈等措施，研究制定《长沙市望城区人民政府工作规则》（望政发</w:t>
      </w:r>
      <w:r>
        <w:rPr>
          <w:rFonts w:hAnsi="Times New Roman"/>
        </w:rPr>
        <w:t>[2019]1</w:t>
      </w:r>
      <w:r>
        <w:rPr>
          <w:rFonts w:hint="eastAsia" w:hAnsi="Times New Roman"/>
        </w:rPr>
        <w:t>号）等系列文件，坚决杜绝“裸文”、公文“体外循环”的现象。组织开展区直部门办公系统综合业务培训</w:t>
      </w:r>
      <w:r>
        <w:rPr>
          <w:rFonts w:hAnsi="Times New Roman"/>
        </w:rPr>
        <w:t>1</w:t>
      </w:r>
      <w:r>
        <w:rPr>
          <w:rFonts w:hint="eastAsia" w:hAnsi="Times New Roman"/>
        </w:rPr>
        <w:t>次，文件起草更快捷，运转更顺畅，衔接更紧密，全年高效处理请示文件</w:t>
      </w:r>
      <w:r>
        <w:rPr>
          <w:rFonts w:hAnsi="Times New Roman"/>
        </w:rPr>
        <w:t>2464</w:t>
      </w:r>
      <w:r>
        <w:rPr>
          <w:rFonts w:hint="eastAsia" w:hAnsi="Times New Roman"/>
        </w:rPr>
        <w:t>件、传阅文件</w:t>
      </w:r>
      <w:r>
        <w:rPr>
          <w:rFonts w:hAnsi="Times New Roman"/>
        </w:rPr>
        <w:t>1992</w:t>
      </w:r>
      <w:r>
        <w:rPr>
          <w:rFonts w:hint="eastAsia" w:hAnsi="Times New Roman"/>
        </w:rPr>
        <w:t>件，其中以区政府、区政府办名义正式印发公文</w:t>
      </w:r>
      <w:r>
        <w:rPr>
          <w:rFonts w:hAnsi="Times New Roman"/>
        </w:rPr>
        <w:t>312</w:t>
      </w:r>
      <w:r>
        <w:rPr>
          <w:rFonts w:hint="eastAsia" w:hAnsi="Times New Roman"/>
        </w:rPr>
        <w:t>件，较上年减少</w:t>
      </w:r>
      <w:r>
        <w:rPr>
          <w:rFonts w:hAnsi="Times New Roman"/>
        </w:rPr>
        <w:t>31%</w:t>
      </w:r>
      <w:r>
        <w:rPr>
          <w:rFonts w:hint="eastAsia" w:hAnsi="Times New Roman"/>
        </w:rPr>
        <w:t>，各类会议纪要</w:t>
      </w:r>
      <w:r>
        <w:rPr>
          <w:rFonts w:hAnsi="Times New Roman"/>
        </w:rPr>
        <w:t>197</w:t>
      </w:r>
      <w:r>
        <w:rPr>
          <w:rFonts w:hint="eastAsia" w:hAnsi="Times New Roman"/>
        </w:rPr>
        <w:t>件，较上年减少</w:t>
      </w:r>
      <w:r>
        <w:rPr>
          <w:rFonts w:hAnsi="Times New Roman"/>
        </w:rPr>
        <w:t>17.2%</w:t>
      </w:r>
      <w:r>
        <w:rPr>
          <w:rFonts w:hint="eastAsia" w:hAnsi="Times New Roman"/>
        </w:rPr>
        <w:t>。围绕区委、区政府重大决策，</w:t>
      </w:r>
      <w:r>
        <w:rPr>
          <w:rFonts w:hint="eastAsia" w:hAnsi="Times New Roman"/>
          <w:spacing w:val="-6"/>
        </w:rPr>
        <w:t>紧贴领导思路，严把文字材料的质量关口，全年共完成工作报告、领导讲话、情况汇报等各类文稿</w:t>
      </w:r>
      <w:r>
        <w:rPr>
          <w:rFonts w:hAnsi="Times New Roman"/>
          <w:spacing w:val="-6"/>
        </w:rPr>
        <w:t>200</w:t>
      </w:r>
      <w:r>
        <w:rPr>
          <w:rFonts w:hint="eastAsia" w:hAnsi="Times New Roman"/>
          <w:spacing w:val="-6"/>
        </w:rPr>
        <w:t>余篇，半年度经济形势分析会讲话、政府工作报告等语言凝练、指导性强，获得一致认可。</w:t>
      </w:r>
    </w:p>
    <w:p>
      <w:pPr>
        <w:spacing w:line="600" w:lineRule="exact"/>
        <w:ind w:firstLine="640" w:firstLineChars="200"/>
        <w:rPr>
          <w:rFonts w:hAnsi="Times New Roman"/>
        </w:rPr>
      </w:pPr>
      <w:r>
        <w:rPr>
          <w:rFonts w:hAnsi="Times New Roman"/>
        </w:rPr>
        <w:t>3.</w:t>
      </w:r>
      <w:r>
        <w:rPr>
          <w:rFonts w:hint="eastAsia" w:hAnsi="Times New Roman"/>
        </w:rPr>
        <w:t>牢固树立“精简会议、精细办公”的理念，严格会议报批和组织实施程序，未经审批的会议一律不开，严控会议数量，可以整合到一起开的会议坚决整合，无实质性工作内容的会议坚决不开，全年全区会议比上年减少</w:t>
      </w:r>
      <w:r>
        <w:rPr>
          <w:rFonts w:hAnsi="Times New Roman"/>
        </w:rPr>
        <w:t>30%</w:t>
      </w:r>
      <w:r>
        <w:rPr>
          <w:rFonts w:hint="eastAsia" w:hAnsi="Times New Roman"/>
        </w:rPr>
        <w:t>。会前严格工作对接、会议通知、材料准备、会场布置等诸多环节，并将各项工作细化到岗、到人，确保衔接顺畅、布置精准；会中加强会风督查考核，对无故缺会、代会、迟到早退者，及时发出通报，确保良好的会风会纪；会后加强会议精神贯彻落实的督促检查，确保会议精神落实到位。全年召开区政府常务会议</w:t>
      </w:r>
      <w:r>
        <w:rPr>
          <w:rFonts w:hAnsi="Times New Roman"/>
        </w:rPr>
        <w:t>8</w:t>
      </w:r>
      <w:r>
        <w:rPr>
          <w:rFonts w:hint="eastAsia" w:hAnsi="Times New Roman"/>
        </w:rPr>
        <w:t>次，审议议题</w:t>
      </w:r>
      <w:r>
        <w:rPr>
          <w:rFonts w:hAnsi="Times New Roman"/>
        </w:rPr>
        <w:t>52</w:t>
      </w:r>
      <w:r>
        <w:rPr>
          <w:rFonts w:hint="eastAsia" w:hAnsi="Times New Roman"/>
        </w:rPr>
        <w:t>个，会议质量和效率持续提升。</w:t>
      </w:r>
    </w:p>
    <w:p>
      <w:pPr>
        <w:spacing w:line="600" w:lineRule="exact"/>
        <w:ind w:firstLine="640" w:firstLineChars="200"/>
        <w:rPr>
          <w:rFonts w:ascii="宋体" w:hAnsi="宋体" w:eastAsia="宋体" w:cs="宋体"/>
        </w:rPr>
      </w:pPr>
      <w:r>
        <w:rPr>
          <w:rFonts w:hAnsi="Times New Roman"/>
        </w:rPr>
        <w:t>4.</w:t>
      </w:r>
      <w:r>
        <w:rPr>
          <w:rFonts w:hint="eastAsia" w:hAnsi="Times New Roman"/>
        </w:rPr>
        <w:t>积极向上级相关部门汇报，及时协调四大办及区直相关部门，实现重大活动、重要工作的有效衔接，重点保障了全区“两会”、国际铁人三项赛、红土网球赛、全市项目流动观摩等活动的顺利开展，圆满完成上级领导视察望城、外地党政代表团考察望城，区政府领导调研等系列活动。各位县级干部、副主任协助各分管副区长开展日常工作，为区政府各项工作高效运转发挥了重要的参谋助手作用。统筹推动全区节日期间国旗升挂、“一圈两场三道”等重大工作，其中“一圈两场三道”工作被告市政府评为一等优秀单位。</w:t>
      </w:r>
    </w:p>
    <w:p>
      <w:pPr>
        <w:spacing w:line="600" w:lineRule="exact"/>
        <w:ind w:firstLine="640" w:firstLineChars="200"/>
        <w:rPr>
          <w:rFonts w:ascii="Times New Roman" w:hAnsi="Times New Roman"/>
        </w:rPr>
      </w:pPr>
      <w:r>
        <w:rPr>
          <w:rFonts w:ascii="Times New Roman" w:hAnsi="Times New Roman"/>
        </w:rPr>
        <w:t>5.</w:t>
      </w:r>
      <w:r>
        <w:rPr>
          <w:rFonts w:hint="eastAsia" w:ascii="Times New Roman" w:hAnsi="Times New Roman"/>
        </w:rPr>
        <w:t>围绕区人大会议确定的任务、目标，将《政府工作报告》及经济社会各项重点工作和民生实事以责任分解表的形式，逐一明确承办单位和责任人，坚持一月一调度、一月一通报，全年下发督查通报</w:t>
      </w:r>
      <w:r>
        <w:rPr>
          <w:rFonts w:ascii="Times New Roman" w:hAnsi="Times New Roman"/>
        </w:rPr>
        <w:t>10</w:t>
      </w:r>
      <w:r>
        <w:rPr>
          <w:rFonts w:hint="eastAsia" w:ascii="Times New Roman" w:hAnsi="Times New Roman"/>
        </w:rPr>
        <w:t>期，确保了各项工作任务圆满完成。针对重大项目建设、拆违控违、精准扶贫等重点工作，组织相关部门深入一线督查，及时准确掌握真实情况，为区领导掌握工作动态、科学决策提供了依据。对各级领导批办件、区政府各类会议议定事项，制定专项督促落实方案，限期反馈落实，全年组织办理各级议案、建议、提案</w:t>
      </w:r>
      <w:r>
        <w:rPr>
          <w:rFonts w:ascii="Times New Roman" w:hAnsi="Times New Roman"/>
        </w:rPr>
        <w:t>178</w:t>
      </w:r>
      <w:r>
        <w:rPr>
          <w:rFonts w:hint="eastAsia" w:ascii="Times New Roman" w:hAnsi="Times New Roman"/>
        </w:rPr>
        <w:t>件，办复质量不断提升。</w:t>
      </w:r>
    </w:p>
    <w:p>
      <w:pPr>
        <w:spacing w:line="600" w:lineRule="exact"/>
        <w:ind w:firstLine="640" w:firstLineChars="200"/>
        <w:rPr>
          <w:rFonts w:ascii="宋体" w:hAnsi="宋体" w:eastAsia="宋体" w:cs="宋体"/>
        </w:rPr>
      </w:pPr>
      <w:r>
        <w:rPr>
          <w:rFonts w:ascii="Times New Roman" w:hAnsi="Times New Roman"/>
        </w:rPr>
        <w:t>6.</w:t>
      </w:r>
      <w:r>
        <w:rPr>
          <w:rFonts w:hint="eastAsia" w:ascii="Times New Roman" w:hAnsi="Times New Roman"/>
        </w:rPr>
        <w:t>立足发挥信息工作的上传下达作用，进一步规范信息采编工作，突出从全区经济发展、项目建设、城乡品质、社会民生各个领域、搜集素材、提炼总结，即反映先进典型和经验做法，又反映问题和差距，使领导及时掌握工作动态，便于决策参考。一年来，向上级报送各类信息共计</w:t>
      </w:r>
      <w:r>
        <w:rPr>
          <w:rFonts w:ascii="Times New Roman" w:hAnsi="Times New Roman"/>
        </w:rPr>
        <w:t>100</w:t>
      </w:r>
      <w:r>
        <w:rPr>
          <w:rFonts w:hint="eastAsia" w:ascii="Times New Roman" w:hAnsi="Times New Roman"/>
        </w:rPr>
        <w:t>余条，其中《比亚迪电子长沙工厂首批华为手机在望城正式下线》等信息被省办、市办采用，起到了宣传望城、推介望城的良好效果。</w:t>
      </w:r>
    </w:p>
    <w:p>
      <w:pPr>
        <w:spacing w:line="600" w:lineRule="exact"/>
        <w:ind w:firstLine="643" w:firstLineChars="200"/>
        <w:rPr>
          <w:rFonts w:ascii="Times New Roman" w:hAnsi="Times New Roman"/>
          <w:b/>
        </w:rPr>
      </w:pPr>
      <w:r>
        <w:rPr>
          <w:rFonts w:hint="eastAsia" w:ascii="Times New Roman" w:hAnsi="Times New Roman"/>
          <w:b/>
        </w:rPr>
        <w:t>（二）社会满意度情况</w:t>
      </w:r>
    </w:p>
    <w:p>
      <w:pPr>
        <w:spacing w:line="600" w:lineRule="exact"/>
        <w:ind w:firstLine="640" w:firstLineChars="200"/>
        <w:rPr>
          <w:rFonts w:ascii="Times New Roman" w:hAnsi="Times New Roman"/>
        </w:rPr>
      </w:pPr>
      <w:r>
        <w:rPr>
          <w:rFonts w:hint="eastAsia" w:ascii="Times New Roman" w:hAnsi="Times New Roman"/>
        </w:rPr>
        <w:t>发挥本职效能，人民群众满意和代表满意程度：满意。</w:t>
      </w:r>
    </w:p>
    <w:p>
      <w:pPr>
        <w:spacing w:line="600" w:lineRule="exact"/>
        <w:ind w:firstLine="640" w:firstLineChars="200"/>
        <w:rPr>
          <w:rFonts w:ascii="Times New Roman" w:hAnsi="Times New Roman" w:eastAsia="黑体"/>
        </w:rPr>
      </w:pPr>
      <w:r>
        <w:rPr>
          <w:rFonts w:hint="eastAsia" w:ascii="Times New Roman" w:hAnsi="Times New Roman" w:eastAsia="黑体"/>
        </w:rPr>
        <w:t>六、部门（单位）整体支出绩效中存在问题及改进措施</w:t>
      </w:r>
    </w:p>
    <w:p>
      <w:pPr>
        <w:spacing w:line="600" w:lineRule="exact"/>
        <w:ind w:firstLine="640" w:firstLineChars="200"/>
        <w:rPr>
          <w:rFonts w:ascii="Times New Roman" w:hAnsi="Times New Roman"/>
        </w:rPr>
      </w:pPr>
      <w:r>
        <w:rPr>
          <w:rFonts w:hint="eastAsia" w:ascii="Times New Roman" w:hAnsi="Times New Roman"/>
        </w:rPr>
        <w:t>（一）主要问题及原因分析</w:t>
      </w:r>
    </w:p>
    <w:p>
      <w:pPr>
        <w:spacing w:line="600" w:lineRule="exact"/>
        <w:ind w:firstLine="640" w:firstLineChars="200"/>
        <w:rPr>
          <w:rFonts w:ascii="Times New Roman" w:hAnsi="Times New Roman"/>
        </w:rPr>
      </w:pPr>
      <w:r>
        <w:rPr>
          <w:rFonts w:hint="eastAsia" w:ascii="Times New Roman" w:hAnsi="Times New Roman"/>
        </w:rPr>
        <w:t>要加快预算执行进度，确保资金使用及时、有效。预算编制精准度不够。</w:t>
      </w:r>
    </w:p>
    <w:p>
      <w:pPr>
        <w:spacing w:line="600" w:lineRule="exact"/>
        <w:ind w:firstLine="640" w:firstLineChars="200"/>
        <w:rPr>
          <w:rFonts w:hAnsi="Times New Roman"/>
        </w:rPr>
      </w:pPr>
      <w:r>
        <w:rPr>
          <w:rFonts w:hint="eastAsia" w:hAnsi="Times New Roman"/>
        </w:rPr>
        <w:t>（二）改进的方向和具体措施</w:t>
      </w:r>
    </w:p>
    <w:p>
      <w:pPr>
        <w:spacing w:line="600" w:lineRule="exact"/>
        <w:ind w:firstLine="640" w:firstLineChars="200"/>
        <w:rPr>
          <w:rFonts w:hAnsi="Times New Roman"/>
        </w:rPr>
      </w:pPr>
      <w:r>
        <w:rPr>
          <w:rFonts w:hAnsi="Times New Roman"/>
        </w:rPr>
        <w:t>1.</w:t>
      </w:r>
      <w:r>
        <w:rPr>
          <w:rFonts w:hint="eastAsia" w:hAnsi="Times New Roman"/>
        </w:rPr>
        <w:t>完善预算管理制度体系，科学合理编制预算财务人员应提高认识，加强学习，增强按照《预算法》规范动作的意识，要做好预算编制前的调研究和分析工作，进一步提高预算的准确性和科学性，减少预算编制的随意性。在对预算年度的经济状况进行全面科学分析的基础上，按照“量入为出、收支平衡、</w:t>
      </w:r>
      <w:r>
        <w:rPr>
          <w:rFonts w:hint="eastAsia" w:hAnsi="Times New Roman"/>
          <w:spacing w:val="-6"/>
        </w:rPr>
        <w:t>统筹兼顾，确保重点”的原则，合理安排预算收支，将预算资金尽量落实到个体单位、项目，争取做到每个支出项目都是有预算。</w:t>
      </w:r>
    </w:p>
    <w:p>
      <w:pPr>
        <w:spacing w:line="600" w:lineRule="exact"/>
        <w:ind w:firstLine="640" w:firstLineChars="200"/>
        <w:rPr>
          <w:rFonts w:hAnsi="Times New Roman"/>
        </w:rPr>
      </w:pPr>
      <w:r>
        <w:rPr>
          <w:rFonts w:hAnsi="Times New Roman"/>
        </w:rPr>
        <w:t>2.</w:t>
      </w:r>
      <w:r>
        <w:rPr>
          <w:rFonts w:hint="eastAsia" w:hAnsi="Times New Roman"/>
        </w:rPr>
        <w:t>编制完整的年度采购预算，合理编制采购计划严格按照《政府采购法》规定和部门预算管理的要求，采购单位要有前瞻性、计划性，要编制完整的年度采购预算。根据政府采购预算编制采购计划，做好政府采购预算和采购计划编报的相互衔接工作，确保采购预算一经批准便要严格执行。</w:t>
      </w:r>
    </w:p>
    <w:p>
      <w:pPr>
        <w:spacing w:line="600" w:lineRule="exact"/>
        <w:ind w:firstLine="640" w:firstLineChars="200"/>
        <w:rPr>
          <w:rFonts w:hAnsi="Times New Roman"/>
        </w:rPr>
      </w:pPr>
      <w:r>
        <w:rPr>
          <w:rFonts w:hAnsi="Times New Roman"/>
        </w:rPr>
        <w:t>3.</w:t>
      </w:r>
      <w:r>
        <w:rPr>
          <w:rFonts w:hint="eastAsia" w:hAnsi="Times New Roman"/>
        </w:rPr>
        <w:t>重视绩效评价工作，建立绩效评价制度绩效评价工作是衡量部门履行职责的执行情况和效率效果的重要手段，单位应该自上而下增强绩效管理责任意识，把绩效自评、绩效管理等工作纳入常态，建立和完善财政支出绩效评价相关制度，包括绩效目标审查制度、项目绩效考核制度、绩效奖惩制度等，以充分调动开展绩效评价工作的积极性和责任感。</w:t>
      </w:r>
    </w:p>
    <w:p>
      <w:pPr>
        <w:spacing w:line="600" w:lineRule="exact"/>
        <w:ind w:firstLine="640" w:firstLineChars="200"/>
        <w:rPr>
          <w:rFonts w:hAnsi="Times New Roman"/>
        </w:rPr>
      </w:pPr>
      <w:r>
        <w:rPr>
          <w:rFonts w:hAnsi="Times New Roman"/>
        </w:rPr>
        <w:t>4.</w:t>
      </w:r>
      <w:r>
        <w:rPr>
          <w:rFonts w:hint="eastAsia" w:hAnsi="Times New Roman"/>
        </w:rPr>
        <w:t>加强项目监督检查，保障项目及进完成单位要制定合理的项目实际计划，采用科学的管理方法，定期对本单位项目的实施情况进行监督检查，对存在的问题限期整改，责任到人，调动参与人员积极性和明确任务目标，发现项目滞后应立即采取有效措施弥补。</w:t>
      </w:r>
    </w:p>
    <w:p>
      <w:pPr>
        <w:spacing w:line="600" w:lineRule="exact"/>
        <w:ind w:firstLine="640" w:firstLineChars="200"/>
        <w:rPr>
          <w:rFonts w:ascii="Times New Roman" w:hAnsi="Times New Roman"/>
        </w:rPr>
      </w:pPr>
      <w:r>
        <w:rPr>
          <w:rFonts w:hint="eastAsia" w:ascii="Times New Roman" w:hAnsi="Times New Roman" w:eastAsia="黑体"/>
        </w:rPr>
        <w:t>七、其它需要说明的情况</w:t>
      </w:r>
    </w:p>
    <w:p>
      <w:pPr>
        <w:adjustRightInd w:val="0"/>
        <w:snapToGrid w:val="0"/>
        <w:spacing w:line="600" w:lineRule="exact"/>
        <w:jc w:val="left"/>
        <w:rPr>
          <w:rFonts w:hAnsi="黑体"/>
        </w:rPr>
      </w:pPr>
      <w:r>
        <w:rPr>
          <w:rFonts w:ascii="黑体" w:hAnsi="黑体" w:eastAsia="黑体"/>
        </w:rPr>
        <w:t xml:space="preserve"> </w:t>
      </w:r>
      <w:r>
        <w:rPr>
          <w:rFonts w:hAnsi="黑体"/>
        </w:rPr>
        <w:t xml:space="preserve">   </w:t>
      </w:r>
      <w:r>
        <w:rPr>
          <w:rFonts w:hint="eastAsia" w:hAnsi="黑体"/>
        </w:rPr>
        <w:t>无</w:t>
      </w:r>
    </w:p>
    <w:sectPr>
      <w:headerReference r:id="rId3" w:type="default"/>
      <w:footerReference r:id="rId4" w:type="default"/>
      <w:footerReference r:id="rId5" w:type="even"/>
      <w:pgSz w:w="11906" w:h="16838"/>
      <w:pgMar w:top="1701" w:right="1587" w:bottom="1417" w:left="1701" w:header="851" w:footer="850"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rFonts w:ascii="仿宋" w:hAnsi="仿宋" w:eastAsia="仿宋" w:cs="仿宋"/>
        <w:sz w:val="28"/>
        <w:szCs w:val="28"/>
      </w:rPr>
      <w:fldChar w:fldCharType="begin"/>
    </w:r>
    <w:r>
      <w:rPr>
        <w:rFonts w:ascii="仿宋" w:hAnsi="仿宋" w:eastAsia="仿宋" w:cs="仿宋"/>
        <w:sz w:val="28"/>
        <w:szCs w:val="28"/>
      </w:rPr>
      <w:instrText xml:space="preserve">PAGE   \* MERGEFORMAT</w:instrText>
    </w:r>
    <w:r>
      <w:rPr>
        <w:rFonts w:ascii="仿宋" w:hAnsi="仿宋" w:eastAsia="仿宋" w:cs="仿宋"/>
        <w:sz w:val="28"/>
        <w:szCs w:val="28"/>
      </w:rPr>
      <w:fldChar w:fldCharType="separate"/>
    </w:r>
    <w:r>
      <w:rPr>
        <w:rFonts w:ascii="仿宋" w:hAnsi="仿宋" w:eastAsia="仿宋" w:cs="仿宋"/>
        <w:sz w:val="28"/>
        <w:szCs w:val="28"/>
        <w:lang w:val="zh-CN"/>
      </w:rPr>
      <w:t>-</w:t>
    </w:r>
    <w:r>
      <w:rPr>
        <w:rFonts w:ascii="仿宋" w:hAnsi="仿宋" w:eastAsia="仿宋" w:cs="仿宋"/>
        <w:sz w:val="28"/>
        <w:szCs w:val="28"/>
      </w:rPr>
      <w:t xml:space="preserve"> 1 -</w:t>
    </w:r>
    <w:r>
      <w:rPr>
        <w:rFonts w:ascii="仿宋" w:hAnsi="仿宋" w:eastAsia="仿宋" w:cs="仿宋"/>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仿宋" w:hAnsi="仿宋" w:eastAsia="仿宋" w:cs="仿宋"/>
        <w:sz w:val="28"/>
        <w:szCs w:val="28"/>
      </w:rPr>
      <w:fldChar w:fldCharType="begin"/>
    </w:r>
    <w:r>
      <w:rPr>
        <w:rFonts w:ascii="仿宋" w:hAnsi="仿宋" w:eastAsia="仿宋" w:cs="仿宋"/>
        <w:sz w:val="28"/>
        <w:szCs w:val="28"/>
      </w:rPr>
      <w:instrText xml:space="preserve">PAGE   \* MERGEFORMAT</w:instrText>
    </w:r>
    <w:r>
      <w:rPr>
        <w:rFonts w:ascii="仿宋" w:hAnsi="仿宋" w:eastAsia="仿宋" w:cs="仿宋"/>
        <w:sz w:val="28"/>
        <w:szCs w:val="28"/>
      </w:rPr>
      <w:fldChar w:fldCharType="separate"/>
    </w:r>
    <w:r>
      <w:rPr>
        <w:rFonts w:ascii="仿宋" w:hAnsi="仿宋" w:eastAsia="仿宋" w:cs="仿宋"/>
        <w:sz w:val="28"/>
        <w:szCs w:val="28"/>
        <w:lang w:val="zh-CN"/>
      </w:rPr>
      <w:t>-</w:t>
    </w:r>
    <w:r>
      <w:rPr>
        <w:rFonts w:ascii="仿宋" w:hAnsi="仿宋" w:eastAsia="仿宋" w:cs="仿宋"/>
        <w:sz w:val="28"/>
        <w:szCs w:val="28"/>
      </w:rPr>
      <w:t xml:space="preserve"> 2 -</w:t>
    </w:r>
    <w:r>
      <w:rPr>
        <w:rFonts w:ascii="仿宋" w:hAnsi="仿宋" w:eastAsia="仿宋" w:cs="仿宋"/>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evenAndOddHeaders w:val="1"/>
  <w:drawingGridHorizontalSpacing w:val="160"/>
  <w:drawingGridVerticalSpacing w:val="435"/>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747"/>
    <w:rsid w:val="00005D88"/>
    <w:rsid w:val="00017EBD"/>
    <w:rsid w:val="00050733"/>
    <w:rsid w:val="00057A74"/>
    <w:rsid w:val="00061025"/>
    <w:rsid w:val="00064467"/>
    <w:rsid w:val="0007763D"/>
    <w:rsid w:val="0008243B"/>
    <w:rsid w:val="000877BF"/>
    <w:rsid w:val="00091E7B"/>
    <w:rsid w:val="000D230F"/>
    <w:rsid w:val="000E20BF"/>
    <w:rsid w:val="00106906"/>
    <w:rsid w:val="00111454"/>
    <w:rsid w:val="0016305B"/>
    <w:rsid w:val="00170D2C"/>
    <w:rsid w:val="00190E73"/>
    <w:rsid w:val="001918FE"/>
    <w:rsid w:val="001A2888"/>
    <w:rsid w:val="001B67CB"/>
    <w:rsid w:val="001B6A3D"/>
    <w:rsid w:val="001C0081"/>
    <w:rsid w:val="001C10FB"/>
    <w:rsid w:val="001D2480"/>
    <w:rsid w:val="001E275B"/>
    <w:rsid w:val="001E6B38"/>
    <w:rsid w:val="001F591B"/>
    <w:rsid w:val="001F7A6C"/>
    <w:rsid w:val="00225B82"/>
    <w:rsid w:val="002436E5"/>
    <w:rsid w:val="002603D7"/>
    <w:rsid w:val="00263876"/>
    <w:rsid w:val="00264568"/>
    <w:rsid w:val="00283DDC"/>
    <w:rsid w:val="00294D02"/>
    <w:rsid w:val="002A1C9D"/>
    <w:rsid w:val="002D2B17"/>
    <w:rsid w:val="002D6DE6"/>
    <w:rsid w:val="002F4C93"/>
    <w:rsid w:val="002F7238"/>
    <w:rsid w:val="00303747"/>
    <w:rsid w:val="00304A80"/>
    <w:rsid w:val="00311F5D"/>
    <w:rsid w:val="003202CE"/>
    <w:rsid w:val="003370D8"/>
    <w:rsid w:val="00344F4D"/>
    <w:rsid w:val="00345F10"/>
    <w:rsid w:val="00347B6E"/>
    <w:rsid w:val="0035691A"/>
    <w:rsid w:val="00365CB3"/>
    <w:rsid w:val="003663D1"/>
    <w:rsid w:val="0037668D"/>
    <w:rsid w:val="003809B6"/>
    <w:rsid w:val="00382329"/>
    <w:rsid w:val="003A32AD"/>
    <w:rsid w:val="003E2B22"/>
    <w:rsid w:val="003F52D0"/>
    <w:rsid w:val="00406148"/>
    <w:rsid w:val="00406EF4"/>
    <w:rsid w:val="00413BF7"/>
    <w:rsid w:val="004358A4"/>
    <w:rsid w:val="004378B6"/>
    <w:rsid w:val="0044035E"/>
    <w:rsid w:val="004808A0"/>
    <w:rsid w:val="0048639A"/>
    <w:rsid w:val="00486AFF"/>
    <w:rsid w:val="00490592"/>
    <w:rsid w:val="004B6514"/>
    <w:rsid w:val="004C06F3"/>
    <w:rsid w:val="004C0FAE"/>
    <w:rsid w:val="004C37B2"/>
    <w:rsid w:val="004C420F"/>
    <w:rsid w:val="004C609D"/>
    <w:rsid w:val="004E1BAF"/>
    <w:rsid w:val="004E437A"/>
    <w:rsid w:val="004E5E17"/>
    <w:rsid w:val="004F24CD"/>
    <w:rsid w:val="00502C54"/>
    <w:rsid w:val="005362BF"/>
    <w:rsid w:val="00570BC5"/>
    <w:rsid w:val="005A2FDD"/>
    <w:rsid w:val="005A43DF"/>
    <w:rsid w:val="005B5668"/>
    <w:rsid w:val="005C304E"/>
    <w:rsid w:val="005C424E"/>
    <w:rsid w:val="005D1FF9"/>
    <w:rsid w:val="005D34B9"/>
    <w:rsid w:val="005D6E14"/>
    <w:rsid w:val="005F4A12"/>
    <w:rsid w:val="0060178E"/>
    <w:rsid w:val="006078F9"/>
    <w:rsid w:val="00610F28"/>
    <w:rsid w:val="00620E58"/>
    <w:rsid w:val="006270C6"/>
    <w:rsid w:val="006354FD"/>
    <w:rsid w:val="00641607"/>
    <w:rsid w:val="00642A55"/>
    <w:rsid w:val="00656D1E"/>
    <w:rsid w:val="00662C5F"/>
    <w:rsid w:val="006650D7"/>
    <w:rsid w:val="006766CC"/>
    <w:rsid w:val="006924C4"/>
    <w:rsid w:val="006936A2"/>
    <w:rsid w:val="006971C6"/>
    <w:rsid w:val="006D5B45"/>
    <w:rsid w:val="006D7E4D"/>
    <w:rsid w:val="006F0A44"/>
    <w:rsid w:val="006F5EBB"/>
    <w:rsid w:val="007336F9"/>
    <w:rsid w:val="00742C69"/>
    <w:rsid w:val="007710AC"/>
    <w:rsid w:val="00783BAD"/>
    <w:rsid w:val="007A02CE"/>
    <w:rsid w:val="007B3CF7"/>
    <w:rsid w:val="007C2C3E"/>
    <w:rsid w:val="007D60DD"/>
    <w:rsid w:val="00815068"/>
    <w:rsid w:val="00816734"/>
    <w:rsid w:val="00822809"/>
    <w:rsid w:val="00830963"/>
    <w:rsid w:val="00834ED6"/>
    <w:rsid w:val="00856037"/>
    <w:rsid w:val="008854AA"/>
    <w:rsid w:val="008A4AAA"/>
    <w:rsid w:val="008A7835"/>
    <w:rsid w:val="008C5FEB"/>
    <w:rsid w:val="008C786A"/>
    <w:rsid w:val="008D1C56"/>
    <w:rsid w:val="008D26E3"/>
    <w:rsid w:val="00920B6C"/>
    <w:rsid w:val="0095469C"/>
    <w:rsid w:val="00964943"/>
    <w:rsid w:val="009B1AC1"/>
    <w:rsid w:val="009B2C90"/>
    <w:rsid w:val="009B7757"/>
    <w:rsid w:val="009D37B4"/>
    <w:rsid w:val="009D5A12"/>
    <w:rsid w:val="009E2E3A"/>
    <w:rsid w:val="009F0B2A"/>
    <w:rsid w:val="00A00E85"/>
    <w:rsid w:val="00A17F2F"/>
    <w:rsid w:val="00A23802"/>
    <w:rsid w:val="00A24C77"/>
    <w:rsid w:val="00A42276"/>
    <w:rsid w:val="00A4662B"/>
    <w:rsid w:val="00A5183F"/>
    <w:rsid w:val="00A61547"/>
    <w:rsid w:val="00A63BB3"/>
    <w:rsid w:val="00A668BF"/>
    <w:rsid w:val="00A84484"/>
    <w:rsid w:val="00A87EDF"/>
    <w:rsid w:val="00A923A5"/>
    <w:rsid w:val="00AA3D07"/>
    <w:rsid w:val="00AA6438"/>
    <w:rsid w:val="00AD08EA"/>
    <w:rsid w:val="00AD2FCB"/>
    <w:rsid w:val="00AD58D7"/>
    <w:rsid w:val="00AF6720"/>
    <w:rsid w:val="00B40C50"/>
    <w:rsid w:val="00B42100"/>
    <w:rsid w:val="00B44886"/>
    <w:rsid w:val="00B55CB9"/>
    <w:rsid w:val="00B56602"/>
    <w:rsid w:val="00B66E6A"/>
    <w:rsid w:val="00B7584F"/>
    <w:rsid w:val="00B76CEA"/>
    <w:rsid w:val="00B873BB"/>
    <w:rsid w:val="00B91775"/>
    <w:rsid w:val="00B9667B"/>
    <w:rsid w:val="00BA7E73"/>
    <w:rsid w:val="00BB2FD1"/>
    <w:rsid w:val="00BB570E"/>
    <w:rsid w:val="00BC32B0"/>
    <w:rsid w:val="00BC4FCA"/>
    <w:rsid w:val="00BC7120"/>
    <w:rsid w:val="00BD2424"/>
    <w:rsid w:val="00BD34C8"/>
    <w:rsid w:val="00BE69CE"/>
    <w:rsid w:val="00BF0FDB"/>
    <w:rsid w:val="00BF5D55"/>
    <w:rsid w:val="00C01BC1"/>
    <w:rsid w:val="00C42F72"/>
    <w:rsid w:val="00C61D3E"/>
    <w:rsid w:val="00C67E84"/>
    <w:rsid w:val="00C707E7"/>
    <w:rsid w:val="00C76C38"/>
    <w:rsid w:val="00CB004E"/>
    <w:rsid w:val="00CB6E34"/>
    <w:rsid w:val="00CC560F"/>
    <w:rsid w:val="00CC65E0"/>
    <w:rsid w:val="00CD141B"/>
    <w:rsid w:val="00CF32B5"/>
    <w:rsid w:val="00CF5DB6"/>
    <w:rsid w:val="00D0168B"/>
    <w:rsid w:val="00D039C0"/>
    <w:rsid w:val="00D24F0E"/>
    <w:rsid w:val="00D4027B"/>
    <w:rsid w:val="00D53566"/>
    <w:rsid w:val="00D6185F"/>
    <w:rsid w:val="00D65F0E"/>
    <w:rsid w:val="00D71E8A"/>
    <w:rsid w:val="00D730FC"/>
    <w:rsid w:val="00D84920"/>
    <w:rsid w:val="00D942BB"/>
    <w:rsid w:val="00D95D63"/>
    <w:rsid w:val="00DD0D05"/>
    <w:rsid w:val="00DE47CA"/>
    <w:rsid w:val="00DE4EB0"/>
    <w:rsid w:val="00DE7A52"/>
    <w:rsid w:val="00DF7A1D"/>
    <w:rsid w:val="00E13CF0"/>
    <w:rsid w:val="00E163FB"/>
    <w:rsid w:val="00E22060"/>
    <w:rsid w:val="00E52CEA"/>
    <w:rsid w:val="00E52FA1"/>
    <w:rsid w:val="00E62C0E"/>
    <w:rsid w:val="00E70E00"/>
    <w:rsid w:val="00E73C44"/>
    <w:rsid w:val="00E84E5F"/>
    <w:rsid w:val="00EA025F"/>
    <w:rsid w:val="00EA1811"/>
    <w:rsid w:val="00EA55DF"/>
    <w:rsid w:val="00ED2F0B"/>
    <w:rsid w:val="00EE50E1"/>
    <w:rsid w:val="00EF1F61"/>
    <w:rsid w:val="00EF320C"/>
    <w:rsid w:val="00F007A3"/>
    <w:rsid w:val="00F16584"/>
    <w:rsid w:val="00F246BC"/>
    <w:rsid w:val="00F24D5C"/>
    <w:rsid w:val="00F30595"/>
    <w:rsid w:val="00F353B4"/>
    <w:rsid w:val="00F3588E"/>
    <w:rsid w:val="00F46099"/>
    <w:rsid w:val="00F5351D"/>
    <w:rsid w:val="00F562FB"/>
    <w:rsid w:val="00F570EF"/>
    <w:rsid w:val="00F63924"/>
    <w:rsid w:val="00FE675D"/>
    <w:rsid w:val="024B7610"/>
    <w:rsid w:val="02904630"/>
    <w:rsid w:val="02DF2789"/>
    <w:rsid w:val="02ED0A04"/>
    <w:rsid w:val="03044238"/>
    <w:rsid w:val="032E23EC"/>
    <w:rsid w:val="03465690"/>
    <w:rsid w:val="03905C46"/>
    <w:rsid w:val="042F6008"/>
    <w:rsid w:val="047E57B2"/>
    <w:rsid w:val="05BB7856"/>
    <w:rsid w:val="06727787"/>
    <w:rsid w:val="067B3B7A"/>
    <w:rsid w:val="069A2713"/>
    <w:rsid w:val="06AE35CF"/>
    <w:rsid w:val="072C602A"/>
    <w:rsid w:val="073519BE"/>
    <w:rsid w:val="077A62E2"/>
    <w:rsid w:val="079D0391"/>
    <w:rsid w:val="07E32029"/>
    <w:rsid w:val="080B7E8E"/>
    <w:rsid w:val="084844DD"/>
    <w:rsid w:val="085942BE"/>
    <w:rsid w:val="08A04ACA"/>
    <w:rsid w:val="08A46BEC"/>
    <w:rsid w:val="08E43459"/>
    <w:rsid w:val="09CC2BF4"/>
    <w:rsid w:val="0AB25B7A"/>
    <w:rsid w:val="0B574BAB"/>
    <w:rsid w:val="0BC91002"/>
    <w:rsid w:val="0C4D5D6A"/>
    <w:rsid w:val="0CD66D6A"/>
    <w:rsid w:val="0E3D5C14"/>
    <w:rsid w:val="0E494602"/>
    <w:rsid w:val="0E70774D"/>
    <w:rsid w:val="0E7116F8"/>
    <w:rsid w:val="0F776F49"/>
    <w:rsid w:val="10174485"/>
    <w:rsid w:val="10F6548A"/>
    <w:rsid w:val="11F44ABD"/>
    <w:rsid w:val="12241950"/>
    <w:rsid w:val="12261667"/>
    <w:rsid w:val="127861E7"/>
    <w:rsid w:val="12826B84"/>
    <w:rsid w:val="13C56F60"/>
    <w:rsid w:val="13D36475"/>
    <w:rsid w:val="14B21B34"/>
    <w:rsid w:val="16044C16"/>
    <w:rsid w:val="170C48FB"/>
    <w:rsid w:val="176D24AC"/>
    <w:rsid w:val="176F0FF1"/>
    <w:rsid w:val="17832D68"/>
    <w:rsid w:val="18514931"/>
    <w:rsid w:val="19DB4F8D"/>
    <w:rsid w:val="1A485342"/>
    <w:rsid w:val="1A923EFD"/>
    <w:rsid w:val="1B6C03A2"/>
    <w:rsid w:val="1BF53D8E"/>
    <w:rsid w:val="1BF819CE"/>
    <w:rsid w:val="1C7601C5"/>
    <w:rsid w:val="1CA97AF2"/>
    <w:rsid w:val="1CB25BED"/>
    <w:rsid w:val="1CB41B1A"/>
    <w:rsid w:val="1CE90C78"/>
    <w:rsid w:val="1CEA21B3"/>
    <w:rsid w:val="1D3905C6"/>
    <w:rsid w:val="1D7A3BAE"/>
    <w:rsid w:val="1E107C25"/>
    <w:rsid w:val="1E4A7FBF"/>
    <w:rsid w:val="1E5C00D9"/>
    <w:rsid w:val="1EFC20F3"/>
    <w:rsid w:val="1FEC1CBA"/>
    <w:rsid w:val="200B1359"/>
    <w:rsid w:val="215A56A0"/>
    <w:rsid w:val="21B43BB0"/>
    <w:rsid w:val="21F96A6E"/>
    <w:rsid w:val="22496209"/>
    <w:rsid w:val="22DF060E"/>
    <w:rsid w:val="23EA355D"/>
    <w:rsid w:val="240259F0"/>
    <w:rsid w:val="2404542C"/>
    <w:rsid w:val="24C92EFB"/>
    <w:rsid w:val="25057336"/>
    <w:rsid w:val="26FF47D2"/>
    <w:rsid w:val="27213B35"/>
    <w:rsid w:val="2776089C"/>
    <w:rsid w:val="27BF0D76"/>
    <w:rsid w:val="27E00EE0"/>
    <w:rsid w:val="28142779"/>
    <w:rsid w:val="2A515B4F"/>
    <w:rsid w:val="2B1954ED"/>
    <w:rsid w:val="2B352870"/>
    <w:rsid w:val="2B4C314F"/>
    <w:rsid w:val="2BB64D7D"/>
    <w:rsid w:val="2BF93154"/>
    <w:rsid w:val="2C1433C1"/>
    <w:rsid w:val="2CAA1E0C"/>
    <w:rsid w:val="2D35264F"/>
    <w:rsid w:val="2D857649"/>
    <w:rsid w:val="2D8B0528"/>
    <w:rsid w:val="2E2A32A9"/>
    <w:rsid w:val="2E4134C1"/>
    <w:rsid w:val="2E760F0A"/>
    <w:rsid w:val="2F7755CB"/>
    <w:rsid w:val="2FCC5BAA"/>
    <w:rsid w:val="2FF37397"/>
    <w:rsid w:val="30106775"/>
    <w:rsid w:val="30E93A29"/>
    <w:rsid w:val="31E3128D"/>
    <w:rsid w:val="343E5D9D"/>
    <w:rsid w:val="34851422"/>
    <w:rsid w:val="35171994"/>
    <w:rsid w:val="35FC0AE7"/>
    <w:rsid w:val="360E6349"/>
    <w:rsid w:val="363D3CC1"/>
    <w:rsid w:val="36CD4E4A"/>
    <w:rsid w:val="382D255F"/>
    <w:rsid w:val="38E13268"/>
    <w:rsid w:val="398A2C9E"/>
    <w:rsid w:val="399455E7"/>
    <w:rsid w:val="3A254190"/>
    <w:rsid w:val="3A352FBB"/>
    <w:rsid w:val="3A5178B3"/>
    <w:rsid w:val="3A806E2F"/>
    <w:rsid w:val="3AA05DA1"/>
    <w:rsid w:val="3B572E86"/>
    <w:rsid w:val="3BA61585"/>
    <w:rsid w:val="3BF84B8E"/>
    <w:rsid w:val="3E1F5C22"/>
    <w:rsid w:val="3E830F89"/>
    <w:rsid w:val="3F0F71F9"/>
    <w:rsid w:val="3F4D44A2"/>
    <w:rsid w:val="401A4AC8"/>
    <w:rsid w:val="413A1A82"/>
    <w:rsid w:val="41645C9E"/>
    <w:rsid w:val="41D40AF0"/>
    <w:rsid w:val="422E642A"/>
    <w:rsid w:val="42BD295A"/>
    <w:rsid w:val="42CB4362"/>
    <w:rsid w:val="43217FE2"/>
    <w:rsid w:val="433B3FD3"/>
    <w:rsid w:val="436627E9"/>
    <w:rsid w:val="438350FA"/>
    <w:rsid w:val="4389215F"/>
    <w:rsid w:val="438C142D"/>
    <w:rsid w:val="4392006A"/>
    <w:rsid w:val="43B77EC0"/>
    <w:rsid w:val="43C3288C"/>
    <w:rsid w:val="43CD0555"/>
    <w:rsid w:val="43E90D2C"/>
    <w:rsid w:val="44025BF0"/>
    <w:rsid w:val="44DE5E1B"/>
    <w:rsid w:val="45A06CC5"/>
    <w:rsid w:val="45B346C6"/>
    <w:rsid w:val="46CB52FC"/>
    <w:rsid w:val="46F0533D"/>
    <w:rsid w:val="488D2675"/>
    <w:rsid w:val="49272AA2"/>
    <w:rsid w:val="49291172"/>
    <w:rsid w:val="49607176"/>
    <w:rsid w:val="49A95F2D"/>
    <w:rsid w:val="4A814816"/>
    <w:rsid w:val="4B8511B1"/>
    <w:rsid w:val="4BB6088A"/>
    <w:rsid w:val="4BB827F5"/>
    <w:rsid w:val="4C187A31"/>
    <w:rsid w:val="4C76314B"/>
    <w:rsid w:val="4DBD75E9"/>
    <w:rsid w:val="4E4674E6"/>
    <w:rsid w:val="4E567FF0"/>
    <w:rsid w:val="4E641FF3"/>
    <w:rsid w:val="4E7A5C30"/>
    <w:rsid w:val="4EE4512B"/>
    <w:rsid w:val="4F4B58F0"/>
    <w:rsid w:val="4F9831FB"/>
    <w:rsid w:val="4FC263E1"/>
    <w:rsid w:val="4FCE68B0"/>
    <w:rsid w:val="50BE71A8"/>
    <w:rsid w:val="51C91180"/>
    <w:rsid w:val="52280F5E"/>
    <w:rsid w:val="52AE5D1F"/>
    <w:rsid w:val="52B92F0B"/>
    <w:rsid w:val="531A3FDA"/>
    <w:rsid w:val="5381244C"/>
    <w:rsid w:val="53FA2113"/>
    <w:rsid w:val="540D038A"/>
    <w:rsid w:val="5436759C"/>
    <w:rsid w:val="54ED5A51"/>
    <w:rsid w:val="550263DC"/>
    <w:rsid w:val="55C142CB"/>
    <w:rsid w:val="56582F22"/>
    <w:rsid w:val="56752DE7"/>
    <w:rsid w:val="568561B4"/>
    <w:rsid w:val="56892492"/>
    <w:rsid w:val="56A528B0"/>
    <w:rsid w:val="56C12B9A"/>
    <w:rsid w:val="575E3CF1"/>
    <w:rsid w:val="57CD2AF8"/>
    <w:rsid w:val="58624883"/>
    <w:rsid w:val="5876656F"/>
    <w:rsid w:val="587C7EE0"/>
    <w:rsid w:val="589F323B"/>
    <w:rsid w:val="5AEC7300"/>
    <w:rsid w:val="5B1D3134"/>
    <w:rsid w:val="5BF52CEA"/>
    <w:rsid w:val="5BFD230E"/>
    <w:rsid w:val="5DB57C4A"/>
    <w:rsid w:val="5E897730"/>
    <w:rsid w:val="5F7A40DF"/>
    <w:rsid w:val="603170D9"/>
    <w:rsid w:val="6070571A"/>
    <w:rsid w:val="60CB750C"/>
    <w:rsid w:val="61407584"/>
    <w:rsid w:val="616F3B21"/>
    <w:rsid w:val="61F50E1D"/>
    <w:rsid w:val="64490810"/>
    <w:rsid w:val="64A1222E"/>
    <w:rsid w:val="64AD1728"/>
    <w:rsid w:val="650E4D44"/>
    <w:rsid w:val="654C2E98"/>
    <w:rsid w:val="65E55ECE"/>
    <w:rsid w:val="65F53B49"/>
    <w:rsid w:val="663452C2"/>
    <w:rsid w:val="66A3066B"/>
    <w:rsid w:val="67EF6DEB"/>
    <w:rsid w:val="68D91DCB"/>
    <w:rsid w:val="68F20C83"/>
    <w:rsid w:val="690270D6"/>
    <w:rsid w:val="6A1243D0"/>
    <w:rsid w:val="6B1425E5"/>
    <w:rsid w:val="6B9F75F2"/>
    <w:rsid w:val="6C0747F6"/>
    <w:rsid w:val="6C1B5CDE"/>
    <w:rsid w:val="6C366899"/>
    <w:rsid w:val="6C8D7596"/>
    <w:rsid w:val="6D1557FB"/>
    <w:rsid w:val="6D7C6692"/>
    <w:rsid w:val="6D9E7845"/>
    <w:rsid w:val="6E4659E5"/>
    <w:rsid w:val="6F230AE6"/>
    <w:rsid w:val="6F330E57"/>
    <w:rsid w:val="6F516FDD"/>
    <w:rsid w:val="6F6A0191"/>
    <w:rsid w:val="6F6A0FF6"/>
    <w:rsid w:val="6FF127E6"/>
    <w:rsid w:val="703219C2"/>
    <w:rsid w:val="70456C7B"/>
    <w:rsid w:val="709062C3"/>
    <w:rsid w:val="718309B8"/>
    <w:rsid w:val="71AA6732"/>
    <w:rsid w:val="72731832"/>
    <w:rsid w:val="729B682C"/>
    <w:rsid w:val="72EC1F71"/>
    <w:rsid w:val="73397D9F"/>
    <w:rsid w:val="743A1952"/>
    <w:rsid w:val="74A34CB4"/>
    <w:rsid w:val="74BD6245"/>
    <w:rsid w:val="763B471A"/>
    <w:rsid w:val="76CB3BBF"/>
    <w:rsid w:val="77CC60FC"/>
    <w:rsid w:val="782D432B"/>
    <w:rsid w:val="7857382F"/>
    <w:rsid w:val="79A11BA0"/>
    <w:rsid w:val="7A1B7E7C"/>
    <w:rsid w:val="7A5A2E35"/>
    <w:rsid w:val="7ACE7DC0"/>
    <w:rsid w:val="7B563005"/>
    <w:rsid w:val="7BD51865"/>
    <w:rsid w:val="7C0758D8"/>
    <w:rsid w:val="7C417202"/>
    <w:rsid w:val="7CC46E5B"/>
    <w:rsid w:val="7D267787"/>
    <w:rsid w:val="7D9E5F6B"/>
    <w:rsid w:val="7DC85F2A"/>
    <w:rsid w:val="7E035DD3"/>
    <w:rsid w:val="7E430E21"/>
    <w:rsid w:val="7EC7642F"/>
    <w:rsid w:val="7F3A2374"/>
    <w:rsid w:val="7FF72AF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jc w:val="both"/>
    </w:pPr>
    <w:rPr>
      <w:rFonts w:ascii="仿宋_GB2312" w:hAnsi="Calibri" w:eastAsia="仿宋_GB2312" w:cs="Times New Roman"/>
      <w:kern w:val="2"/>
      <w:sz w:val="32"/>
      <w:szCs w:val="32"/>
      <w:lang w:val="en-US" w:eastAsia="zh-CN" w:bidi="ar-SA"/>
    </w:rPr>
  </w:style>
  <w:style w:type="character" w:default="1" w:styleId="7">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semiHidden/>
    <w:uiPriority w:val="99"/>
    <w:pPr>
      <w:spacing w:line="240" w:lineRule="auto"/>
      <w:ind w:left="100" w:leftChars="2500"/>
    </w:pPr>
    <w:rPr>
      <w:rFonts w:ascii="Times New Roman" w:hAnsi="Times New Roman" w:eastAsia="宋体"/>
      <w:kern w:val="0"/>
      <w:sz w:val="24"/>
      <w:szCs w:val="24"/>
    </w:rPr>
  </w:style>
  <w:style w:type="paragraph" w:styleId="3">
    <w:name w:val="Balloon Text"/>
    <w:basedOn w:val="1"/>
    <w:link w:val="10"/>
    <w:semiHidden/>
    <w:uiPriority w:val="99"/>
    <w:pPr>
      <w:spacing w:line="240" w:lineRule="auto"/>
    </w:pPr>
    <w:rPr>
      <w:rFonts w:hAnsi="Times New Roman"/>
      <w:sz w:val="18"/>
      <w:szCs w:val="18"/>
    </w:rPr>
  </w:style>
  <w:style w:type="paragraph" w:styleId="4">
    <w:name w:val="footer"/>
    <w:basedOn w:val="1"/>
    <w:link w:val="11"/>
    <w:uiPriority w:val="99"/>
    <w:pPr>
      <w:tabs>
        <w:tab w:val="center" w:pos="4153"/>
        <w:tab w:val="right" w:pos="8306"/>
      </w:tabs>
      <w:snapToGrid w:val="0"/>
      <w:spacing w:line="240" w:lineRule="atLeast"/>
      <w:jc w:val="left"/>
    </w:pPr>
    <w:rPr>
      <w:kern w:val="0"/>
      <w:sz w:val="18"/>
      <w:szCs w:val="18"/>
    </w:rPr>
  </w:style>
  <w:style w:type="paragraph" w:styleId="5">
    <w:name w:val="header"/>
    <w:basedOn w:val="1"/>
    <w:link w:val="12"/>
    <w:uiPriority w:val="99"/>
    <w:pPr>
      <w:pBdr>
        <w:bottom w:val="single" w:color="auto" w:sz="6" w:space="1"/>
      </w:pBdr>
      <w:tabs>
        <w:tab w:val="center" w:pos="4153"/>
        <w:tab w:val="right" w:pos="8306"/>
      </w:tabs>
      <w:snapToGrid w:val="0"/>
      <w:spacing w:line="240" w:lineRule="atLeast"/>
      <w:jc w:val="center"/>
    </w:pPr>
    <w:rPr>
      <w:kern w:val="0"/>
      <w:sz w:val="18"/>
      <w:szCs w:val="18"/>
    </w:rPr>
  </w:style>
  <w:style w:type="character" w:styleId="8">
    <w:name w:val="page number"/>
    <w:basedOn w:val="7"/>
    <w:uiPriority w:val="99"/>
    <w:rPr>
      <w:rFonts w:cs="Times New Roman"/>
    </w:rPr>
  </w:style>
  <w:style w:type="character" w:customStyle="1" w:styleId="9">
    <w:name w:val="Date Char"/>
    <w:basedOn w:val="7"/>
    <w:link w:val="2"/>
    <w:semiHidden/>
    <w:locked/>
    <w:uiPriority w:val="99"/>
    <w:rPr>
      <w:rFonts w:ascii="Times New Roman" w:hAnsi="Times New Roman"/>
      <w:sz w:val="24"/>
    </w:rPr>
  </w:style>
  <w:style w:type="character" w:customStyle="1" w:styleId="10">
    <w:name w:val="Balloon Text Char"/>
    <w:basedOn w:val="7"/>
    <w:link w:val="3"/>
    <w:semiHidden/>
    <w:locked/>
    <w:uiPriority w:val="99"/>
    <w:rPr>
      <w:rFonts w:ascii="仿宋_GB2312" w:eastAsia="仿宋_GB2312"/>
      <w:kern w:val="2"/>
      <w:sz w:val="18"/>
    </w:rPr>
  </w:style>
  <w:style w:type="character" w:customStyle="1" w:styleId="11">
    <w:name w:val="Footer Char"/>
    <w:basedOn w:val="7"/>
    <w:link w:val="4"/>
    <w:locked/>
    <w:uiPriority w:val="99"/>
    <w:rPr>
      <w:rFonts w:ascii="仿宋_GB2312" w:hAnsi="Calibri" w:eastAsia="仿宋_GB2312"/>
      <w:sz w:val="18"/>
    </w:rPr>
  </w:style>
  <w:style w:type="character" w:customStyle="1" w:styleId="12">
    <w:name w:val="Header Char"/>
    <w:basedOn w:val="7"/>
    <w:link w:val="5"/>
    <w:locked/>
    <w:uiPriority w:val="99"/>
    <w:rPr>
      <w:rFonts w:ascii="仿宋_GB2312" w:hAnsi="Calibri" w:eastAsia="仿宋_GB2312"/>
      <w:sz w:val="18"/>
    </w:rPr>
  </w:style>
  <w:style w:type="paragraph" w:customStyle="1" w:styleId="13">
    <w:name w:val="Char"/>
    <w:basedOn w:val="1"/>
    <w:uiPriority w:val="99"/>
    <w:pPr>
      <w:spacing w:line="240" w:lineRule="auto"/>
    </w:pPr>
    <w:rPr>
      <w:rFonts w:ascii="Times New Roman" w:hAnsi="Times New Roman" w:eastAsia="宋体"/>
      <w:sz w:val="21"/>
      <w:szCs w:val="20"/>
    </w:rPr>
  </w:style>
  <w:style w:type="character" w:customStyle="1" w:styleId="14">
    <w:name w:val="日期 Char1"/>
    <w:basedOn w:val="7"/>
    <w:semiHidden/>
    <w:uiPriority w:val="99"/>
    <w:rPr>
      <w:rFonts w:ascii="仿宋_GB2312" w:eastAsia="仿宋_GB2312" w:cs="Times New Roman"/>
      <w:kern w:val="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Lenovo (Beijing) Limited</Company>
  <Pages>11</Pages>
  <Words>993</Words>
  <Characters>5663</Characters>
  <Lines>0</Lines>
  <Paragraphs>0</Paragraphs>
  <TotalTime>81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2019-04-15T01:57:00Z</dcterms:created>
  <dc:creator>lenovo</dc:creator>
  <cp:lastModifiedBy>柯柯妈</cp:lastModifiedBy>
  <cp:lastPrinted>2020-03-26T03:38:00Z</cp:lastPrinted>
  <dcterms:modified xsi:type="dcterms:W3CDTF">2020-12-15T05:48:52Z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