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年政府信息公开年度报告</w:t>
      </w:r>
    </w:p>
    <w:p>
      <w:pPr>
        <w:widowControl/>
        <w:ind w:firstLine="2560" w:firstLineChars="8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长沙市望城区司法局</w:t>
      </w:r>
    </w:p>
    <w:p>
      <w:pPr>
        <w:widowControl/>
        <w:ind w:firstLine="3200" w:firstLineChars="10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6"/>
        <w:tblW w:w="96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9"/>
        <w:gridCol w:w="1112"/>
        <w:gridCol w:w="23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690" w:type="dxa"/>
            <w:gridSpan w:val="3"/>
            <w:shd w:val="clear" w:color="auto" w:fill="auto"/>
            <w:vAlign w:val="bottom"/>
          </w:tcPr>
          <w:p>
            <w:pPr>
              <w:widowControl/>
              <w:ind w:firstLine="640" w:firstLineChars="200"/>
              <w:jc w:val="left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，区司法局严格按照要求，认真贯彻落实《中华人民共和国政府信息公开条例》和政府信息公开各项管理规定，加强制度建设，及时、准确地报送主动公开的政府信息，推进了本单位政府信息公开工作。现将我单位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年政府信息公开工作情况报告如下：</w:t>
            </w:r>
          </w:p>
          <w:p>
            <w:pPr>
              <w:widowControl/>
              <w:ind w:firstLine="640" w:firstLineChars="200"/>
              <w:jc w:val="left"/>
              <w:rPr>
                <w:rFonts w:ascii="黑体" w:hAnsi="宋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一、基本工作情况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年，我单位进一步明确了政府信息公开工作的分管领导及专干，严格按照《中华人民共和国政府信息公开条例》和区政府有关规定开展工作，认真执行信息审核发布制度和主动公开及依申请公开办事程序，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修订《望城区司法局稿酬计发制度》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，将信息发布情况纳入绩效考核，政府信息公开工作不断制度化、规范化。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本单位政府信息主要通过长沙市望城区政府门户网站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和微信公众号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进行公开，严格按照相关要求进行网站信息更新和维护，公开的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内容主要包括组织机构、工作动态、通知公告、法规公文、规划计划、人事信息、财政信息、图片信息等10个信息公开门类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。重点加强了信息公开的及时性，要求信息专干必须在文件信息从生成到网上公开不超过3个工作日。</w:t>
            </w:r>
          </w:p>
          <w:p>
            <w:pPr>
              <w:widowControl/>
              <w:ind w:firstLine="640" w:firstLineChars="200"/>
              <w:jc w:val="left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二、主动公开政府信息情况</w:t>
            </w:r>
          </w:p>
          <w:p>
            <w:pPr>
              <w:widowControl/>
              <w:ind w:firstLine="643" w:firstLineChars="200"/>
              <w:jc w:val="left"/>
              <w:rPr>
                <w:rFonts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（一）公开的数量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ˎ̥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截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至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年12月31日，望城区司法局主动公开政府信息累计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157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条。</w:t>
            </w:r>
          </w:p>
          <w:p>
            <w:pPr>
              <w:widowControl/>
              <w:ind w:firstLine="643" w:firstLineChars="200"/>
              <w:jc w:val="left"/>
              <w:rPr>
                <w:rFonts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（二）公开的内容</w:t>
            </w:r>
          </w:p>
          <w:p>
            <w:pPr>
              <w:widowControl/>
              <w:ind w:firstLine="640" w:firstLineChars="200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年公开信息门类中，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门户网站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工作动态信息11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条，通知公告类信息1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条，法规公文类信息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条，规划计划类信息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条，财政信息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条，人事信息1条，图片类信息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；微信公众号公开各类信息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3条。</w:t>
            </w:r>
          </w:p>
          <w:p>
            <w:pPr>
              <w:widowControl/>
              <w:ind w:firstLine="643" w:firstLineChars="200"/>
              <w:jc w:val="left"/>
              <w:rPr>
                <w:rFonts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（三）公开的及时性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文件信息从生成到网上公开均不超过3个工作日。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ˎ̥" w:eastAsia="仿宋_GB2312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三、依申请公开政府信息办理情况</w:t>
            </w: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　　截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至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目前，我局未收到公开权利人提出公开政府信息的申请，亦无同意公开、同意部分公开和否决公开的信息。</w:t>
            </w:r>
          </w:p>
          <w:p>
            <w:pPr>
              <w:widowControl/>
              <w:ind w:firstLine="640" w:firstLineChars="200"/>
              <w:jc w:val="left"/>
              <w:rPr>
                <w:rFonts w:ascii="黑体" w:hAnsi="宋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四、因政府信息公开申请行政复议、提起行政诉讼的情况</w:t>
            </w:r>
          </w:p>
          <w:p>
            <w:pPr>
              <w:widowControl/>
              <w:ind w:firstLine="640" w:firstLineChars="200"/>
              <w:jc w:val="left"/>
              <w:rPr>
                <w:rFonts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/>
                <w:sz w:val="32"/>
                <w:szCs w:val="32"/>
              </w:rPr>
              <w:t>截</w:t>
            </w:r>
            <w:r>
              <w:rPr>
                <w:rFonts w:hint="eastAsia" w:ascii="仿宋_GB2312" w:hAnsi="ˎ̥" w:eastAsia="仿宋_GB2312"/>
                <w:sz w:val="32"/>
                <w:szCs w:val="32"/>
                <w:lang w:val="en-US" w:eastAsia="zh-CN"/>
              </w:rPr>
              <w:t>至</w:t>
            </w:r>
            <w:bookmarkStart w:id="0" w:name="_GoBack"/>
            <w:bookmarkEnd w:id="0"/>
            <w:r>
              <w:rPr>
                <w:rFonts w:hint="eastAsia" w:ascii="仿宋_GB2312" w:hAnsi="ˎ̥" w:eastAsia="仿宋_GB2312"/>
                <w:sz w:val="32"/>
                <w:szCs w:val="32"/>
              </w:rPr>
              <w:t>目前，我局无因政府信息公开申请行政复议、提起行政诉讼的情况。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kern w:val="0"/>
                <w:sz w:val="32"/>
                <w:szCs w:val="32"/>
              </w:rPr>
              <w:t>　　</w:t>
            </w: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t>五、政府信息公开工作存在的主要问题及改进情况</w:t>
            </w: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ˎ̥" w:eastAsia="仿宋_GB2312"/>
                <w:b/>
                <w:sz w:val="32"/>
                <w:szCs w:val="32"/>
              </w:rPr>
              <w:t>　　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（一）存在的主要问题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ˎ̥" w:eastAsia="仿宋_GB2312"/>
                <w:sz w:val="32"/>
                <w:szCs w:val="32"/>
              </w:rPr>
            </w:pP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2018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年，政府信息公开工作与公众的需求还存有差距，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是政府信息公开渠道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比较单一；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二是政府信息公开的制度化和规范化有待进一步加强；三是政府信息公开项目不够全面。</w:t>
            </w:r>
          </w:p>
          <w:p>
            <w:pPr>
              <w:widowControl/>
              <w:ind w:firstLine="643" w:firstLineChars="200"/>
              <w:jc w:val="left"/>
              <w:rPr>
                <w:rFonts w:ascii="楷体_GB2312" w:hAnsi="楷体_GB2312" w:eastAsia="楷体_GB2312" w:cs="楷体_GB2312"/>
                <w:b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</w:rPr>
              <w:t>（二）改进</w:t>
            </w:r>
            <w:r>
              <w:rPr>
                <w:rFonts w:hint="eastAsia" w:ascii="楷体_GB2312" w:hAnsi="楷体_GB2312" w:eastAsia="楷体_GB2312" w:cs="楷体_GB2312"/>
                <w:b/>
                <w:kern w:val="0"/>
                <w:sz w:val="32"/>
                <w:szCs w:val="32"/>
                <w:lang w:eastAsia="zh-CN"/>
              </w:rPr>
              <w:t>建议</w:t>
            </w:r>
          </w:p>
          <w:p>
            <w:pPr>
              <w:widowControl/>
              <w:ind w:firstLine="640" w:firstLineChars="200"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  <w:r>
              <w:rPr>
                <w:rFonts w:hint="eastAsia" w:ascii="仿宋_GB2312" w:hAnsi="ˎ̥" w:eastAsia="仿宋_GB2312"/>
                <w:sz w:val="32"/>
                <w:szCs w:val="32"/>
              </w:rPr>
              <w:t>结合存在问题和不足，从以下三个方面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建议改进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一是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政府信息公开形式还需灵活多样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，增开新媒体媒介渠道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；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是进一步完善政府信息公开考核和监督机制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，严格执行信息发布“三审制”；三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是加大对具体经办人员的培训力度</w:t>
            </w:r>
            <w:r>
              <w:rPr>
                <w:rFonts w:hint="eastAsia" w:ascii="仿宋_GB2312" w:hAnsi="ˎ̥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 w:hAnsi="ˎ̥" w:eastAsia="仿宋_GB2312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_GB2312" w:hAnsi="ˎ̥" w:eastAsia="仿宋_GB2312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69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0"/>
                <w:szCs w:val="40"/>
              </w:rPr>
              <w:t>政府信息公开情况统计表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690" w:type="dxa"/>
            <w:gridSpan w:val="3"/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69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填报单位（盖章）：望城区司法局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 计 指 标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统计数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76275" cy="304800"/>
                  <wp:effectExtent l="0" t="0" r="9525" b="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（一）主动公开政府信息数                                           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（不同渠道和方式公开相同的信息列为1条）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其中：主动公开规范性文件数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制发规范性文件总数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（二）通过不同渠道和方式公开政府信息的情况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47700" cy="304800"/>
                  <wp:effectExtent l="0" t="0" r="0" b="0"/>
                  <wp:docPr id="4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1、政府公报公开政府信息数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2、政府网站公开政府信息数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3、政务微博公开政府信息数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4、政务微信公开政府信息数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5、其他方式公开政府信息数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66750" cy="285750"/>
                  <wp:effectExtent l="0" t="0" r="0" b="0"/>
                  <wp:docPr id="6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（一）回应公众关注热点或重大舆情数                              </w:t>
            </w:r>
          </w:p>
        </w:tc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21"/>
                <w:rFonts w:hint="default"/>
              </w:rPr>
              <w:t xml:space="preserve">  （不同方式回应同一热点或舆情计1次）</w:t>
            </w:r>
          </w:p>
        </w:tc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（二）通过不同渠道和方式回应解读的情况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1、参加或举办新闻发布会总次数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其中：主要负责同志参加新闻发布会次数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2、政府网站在线访谈次数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其中：主要负责同志参加政府网站在线访谈次数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篇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3、政策解读稿件发布数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4、微博微信回应事件数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5、其他方式回应事件数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85800" cy="533400"/>
                  <wp:effectExtent l="0" t="0" r="0" b="0"/>
                  <wp:docPr id="8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（一）收到申请数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1、当面申请数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2、传真申请数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3、网络申请数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4、信函申请数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（二）申请办结数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1、按时办结数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2、延期办结数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（三）申请答复数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1、属于已主动公开范围数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2、同意公开答复数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3、同意部分公开答复数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4、不同意公开答复数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其中：涉及国家秘密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涉及商业秘密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涉及个人隐私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危及国家安全、公共安全、经济安全和社会稳定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不是《条例》所指政府信息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法律法规规定的其他情形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5、不属于本行政机关公开数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6、申请信息不存在数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7、告知做出更改补充数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8、告知通过其他途径办理数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（一）维持具体行政行为数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（二）被依法纠错数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（二）依法纠错数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件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76275" cy="428625"/>
                  <wp:effectExtent l="0" t="0" r="9525" b="9525"/>
                  <wp:docPr id="9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（二）设置政府信息公开查阅点数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1、专职人员数（不包括政府公报及政府网站工作人员数）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2、兼职人员数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drawing>
                <wp:inline distT="0" distB="0" distL="114300" distR="114300">
                  <wp:extent cx="657225" cy="295275"/>
                  <wp:effectExtent l="0" t="0" r="9525" b="9525"/>
                  <wp:docPr id="10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（二）举办各类培训班数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（三）接受培训人员数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69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填报负责人：  王炽炎            审核人：    刘甜             填报人：  刘平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690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联系电话：0731-88062341</w:t>
            </w:r>
          </w:p>
        </w:tc>
      </w:tr>
    </w:tbl>
    <w:p>
      <w:pPr>
        <w:pStyle w:val="5"/>
        <w:snapToGrid w:val="0"/>
        <w:spacing w:before="0" w:beforeAutospacing="0" w:after="0" w:afterAutospacing="0" w:line="390" w:lineRule="atLeast"/>
        <w:jc w:val="both"/>
        <w:rPr>
          <w:rFonts w:asci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snapToGrid w:val="0"/>
        <w:spacing w:before="0" w:beforeAutospacing="0" w:after="0" w:afterAutospacing="0" w:line="390" w:lineRule="atLeast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>201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年度政府信息公开工作计划表</w:t>
      </w:r>
    </w:p>
    <w:p>
      <w:pPr>
        <w:spacing w:line="360" w:lineRule="auto"/>
        <w:ind w:left="-899" w:leftChars="-428" w:firstLine="945" w:firstLineChars="450"/>
        <w:jc w:val="left"/>
      </w:pPr>
      <w:r>
        <w:rPr>
          <w:rFonts w:hint="eastAsia"/>
        </w:rPr>
        <w:t>单位（盖章）：望城区司法局                          填表时间：</w:t>
      </w:r>
      <w:r>
        <w:rPr>
          <w:rFonts w:hint="eastAsia" w:ascii="宋体" w:hAnsi="宋体"/>
        </w:rPr>
        <w:t>201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/>
        </w:rPr>
        <w:t xml:space="preserve">月 </w:t>
      </w:r>
      <w:r>
        <w:rPr>
          <w:rFonts w:hint="eastAsia" w:ascii="宋体" w:hAnsi="宋体"/>
        </w:rPr>
        <w:t>8</w:t>
      </w:r>
      <w:r>
        <w:rPr>
          <w:rFonts w:hint="eastAsia"/>
        </w:rPr>
        <w:t>日</w:t>
      </w:r>
    </w:p>
    <w:tbl>
      <w:tblPr>
        <w:tblStyle w:val="6"/>
        <w:tblpPr w:leftFromText="180" w:rightFromText="180" w:vertAnchor="text" w:horzAnchor="margin" w:tblpY="49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41"/>
        <w:gridCol w:w="1887"/>
        <w:gridCol w:w="1530"/>
        <w:gridCol w:w="1425"/>
        <w:gridCol w:w="1260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</w:t>
            </w:r>
          </w:p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</w:t>
            </w:r>
          </w:p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主动公开信息工作开展计划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</w:p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根据望城区司法局各科室报送的信息及时公开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收到电子文档并审核后，立即公开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工作动态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依申请公开信息开展计划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根据受理的政府信息公开的申请，组织相关部门及时回复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及时回复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司法行政工作咨询答复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基本情况及工作推进计划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将通知公告、政策法规等信息及时公开，按季度将信息发布情况反馈到司法局各科室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定期反馈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司法行政工作基本情况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工作创新情况以及意见建议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/>
    <w:p>
      <w:pPr>
        <w:pStyle w:val="5"/>
        <w:snapToGrid w:val="0"/>
        <w:spacing w:before="0" w:beforeAutospacing="0" w:after="0" w:afterAutospacing="0" w:line="390" w:lineRule="atLeast"/>
        <w:ind w:firstLine="640"/>
        <w:jc w:val="both"/>
        <w:rPr>
          <w:rFonts w:ascii="黑体" w:eastAsia="黑体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390" w:lineRule="atLeast"/>
        <w:ind w:firstLine="640"/>
        <w:jc w:val="both"/>
        <w:rPr>
          <w:rFonts w:ascii="黑体" w:eastAsia="黑体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390" w:lineRule="atLeast"/>
        <w:rPr>
          <w:rFonts w:ascii="黑体" w:eastAsia="黑体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390" w:lineRule="atLeast"/>
        <w:rPr>
          <w:rFonts w:hint="eastAsia" w:ascii="黑体" w:eastAsia="黑体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39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政府信息公开工作机构登记表</w:t>
      </w:r>
    </w:p>
    <w:p>
      <w:pPr>
        <w:rPr>
          <w:b/>
          <w:sz w:val="36"/>
          <w:szCs w:val="36"/>
        </w:rPr>
      </w:pPr>
      <w:r>
        <w:rPr>
          <w:rFonts w:hint="eastAsia"/>
        </w:rPr>
        <w:t>单位（盖章）：望城区司法局                           填表时间：</w:t>
      </w:r>
      <w:r>
        <w:rPr>
          <w:rFonts w:hint="eastAsia" w:ascii="宋体" w:hAnsi="宋体"/>
        </w:rPr>
        <w:t>201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/>
        </w:rPr>
        <w:t xml:space="preserve">月 </w:t>
      </w:r>
      <w:r>
        <w:rPr>
          <w:rFonts w:hint="eastAsia" w:ascii="宋体" w:hAnsi="宋体"/>
        </w:rPr>
        <w:t>8</w:t>
      </w:r>
      <w:r>
        <w:rPr>
          <w:rFonts w:hint="eastAsia"/>
        </w:rPr>
        <w:t>日</w:t>
      </w:r>
    </w:p>
    <w:tbl>
      <w:tblPr>
        <w:tblStyle w:val="6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613"/>
        <w:gridCol w:w="708"/>
        <w:gridCol w:w="659"/>
        <w:gridCol w:w="663"/>
        <w:gridCol w:w="613"/>
        <w:gridCol w:w="804"/>
        <w:gridCol w:w="613"/>
        <w:gridCol w:w="299"/>
        <w:gridCol w:w="555"/>
        <w:gridCol w:w="3118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61" w:hRule="atLeast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分管领导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王炽炎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党组成员、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政工室主任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0731-88552587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822" w:hRule="atLeast"/>
          <w:jc w:val="center"/>
        </w:trPr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13574168866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728" w:hRule="atLeast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牵头责任</w:t>
            </w:r>
            <w:r>
              <w:rPr>
                <w:rFonts w:ascii="仿宋" w:hAnsi="仿宋" w:eastAsia="仿宋"/>
                <w:b/>
                <w:sz w:val="24"/>
              </w:rPr>
              <w:t>处室</w:t>
            </w:r>
          </w:p>
        </w:tc>
        <w:tc>
          <w:tcPr>
            <w:tcW w:w="136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责任人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刘甜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0731-88062341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807" w:hRule="atLeast"/>
          <w:jc w:val="center"/>
        </w:trPr>
        <w:tc>
          <w:tcPr>
            <w:tcW w:w="180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6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办公室主任</w:t>
            </w:r>
          </w:p>
        </w:tc>
        <w:tc>
          <w:tcPr>
            <w:tcW w:w="85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手机：18975309542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信息专员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刘平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综合科副科长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  <w:r>
              <w:rPr>
                <w:rFonts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办公：0731-88062341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2" w:type="dxa"/>
            <w:gridSpan w:val="2"/>
            <w:vMerge w:val="continue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手机：13875852463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22" w:type="dxa"/>
            <w:gridSpan w:val="2"/>
            <w:vMerge w:val="continue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696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传真：0731-880672341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289556349@qq.com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办公地点</w:t>
            </w:r>
          </w:p>
        </w:tc>
        <w:tc>
          <w:tcPr>
            <w:tcW w:w="460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长沙市望城区雷锋北大道1688号行政中心主楼十五楼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410200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办公时间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（工作日）</w:t>
            </w:r>
          </w:p>
        </w:tc>
        <w:tc>
          <w:tcPr>
            <w:tcW w:w="4608" w:type="dxa"/>
            <w:gridSpan w:val="5"/>
            <w:vAlign w:val="center"/>
          </w:tcPr>
          <w:p>
            <w:pPr>
              <w:pStyle w:val="5"/>
              <w:spacing w:before="0" w:beforeAutospacing="0" w:after="0" w:afterAutospacing="0" w:line="510" w:lineRule="atLeast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夏季作息时间（7月1日-9月30日）：上午9:00-12：00，下午13:30-17:30；</w:t>
            </w:r>
          </w:p>
          <w:p>
            <w:pPr>
              <w:pStyle w:val="5"/>
              <w:spacing w:before="0" w:beforeAutospacing="0" w:after="0" w:afterAutospacing="0" w:line="510" w:lineRule="atLeast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冬季作息时间（10月1日-次年6月30日）：上午9:00-12:00，下午13:00-17:00（节假日除外）。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2269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网站地址</w:t>
            </w:r>
          </w:p>
        </w:tc>
        <w:tc>
          <w:tcPr>
            <w:tcW w:w="8032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http://www.wangcheng.gov.cn/xxgk_343/qzfgzbmhbmgljg/qsfj/index_5037.html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A78EF"/>
    <w:rsid w:val="00127FB4"/>
    <w:rsid w:val="003D4705"/>
    <w:rsid w:val="0046580A"/>
    <w:rsid w:val="0059631F"/>
    <w:rsid w:val="00635E27"/>
    <w:rsid w:val="006667E8"/>
    <w:rsid w:val="00724958"/>
    <w:rsid w:val="00741ADA"/>
    <w:rsid w:val="00A32136"/>
    <w:rsid w:val="00BA2055"/>
    <w:rsid w:val="00C1647D"/>
    <w:rsid w:val="00DA36D7"/>
    <w:rsid w:val="00E377DC"/>
    <w:rsid w:val="00F527E5"/>
    <w:rsid w:val="00FB0AFE"/>
    <w:rsid w:val="03467255"/>
    <w:rsid w:val="037A78EF"/>
    <w:rsid w:val="0454048F"/>
    <w:rsid w:val="05637DF2"/>
    <w:rsid w:val="06346A73"/>
    <w:rsid w:val="06880867"/>
    <w:rsid w:val="08E7720A"/>
    <w:rsid w:val="09A05B41"/>
    <w:rsid w:val="0A3165A7"/>
    <w:rsid w:val="0F5F5C07"/>
    <w:rsid w:val="0FED01ED"/>
    <w:rsid w:val="11085AF0"/>
    <w:rsid w:val="113731D9"/>
    <w:rsid w:val="11ED67AA"/>
    <w:rsid w:val="1397345A"/>
    <w:rsid w:val="14BC7ED8"/>
    <w:rsid w:val="17F21BB2"/>
    <w:rsid w:val="18C94BBC"/>
    <w:rsid w:val="197E2A3E"/>
    <w:rsid w:val="1C694F52"/>
    <w:rsid w:val="1E8F4D35"/>
    <w:rsid w:val="1EB357AE"/>
    <w:rsid w:val="1ED70B49"/>
    <w:rsid w:val="1EDB7DC9"/>
    <w:rsid w:val="1F293440"/>
    <w:rsid w:val="1FB568CE"/>
    <w:rsid w:val="20821A49"/>
    <w:rsid w:val="20DE1CE7"/>
    <w:rsid w:val="22400478"/>
    <w:rsid w:val="22B65EB8"/>
    <w:rsid w:val="22C817CB"/>
    <w:rsid w:val="239033BA"/>
    <w:rsid w:val="23D34EBF"/>
    <w:rsid w:val="2548225E"/>
    <w:rsid w:val="26A67E99"/>
    <w:rsid w:val="27CE359D"/>
    <w:rsid w:val="27E86A0C"/>
    <w:rsid w:val="28283E52"/>
    <w:rsid w:val="29B20277"/>
    <w:rsid w:val="2CBE13F6"/>
    <w:rsid w:val="2D366B37"/>
    <w:rsid w:val="2E455830"/>
    <w:rsid w:val="2FB74B0B"/>
    <w:rsid w:val="3043388D"/>
    <w:rsid w:val="307817B0"/>
    <w:rsid w:val="30956860"/>
    <w:rsid w:val="30F766BF"/>
    <w:rsid w:val="31630C26"/>
    <w:rsid w:val="32C66BC3"/>
    <w:rsid w:val="337C78D1"/>
    <w:rsid w:val="33971AFC"/>
    <w:rsid w:val="35736E17"/>
    <w:rsid w:val="364E2826"/>
    <w:rsid w:val="36A845B7"/>
    <w:rsid w:val="36D757BE"/>
    <w:rsid w:val="3710003B"/>
    <w:rsid w:val="37777CCE"/>
    <w:rsid w:val="37C07C46"/>
    <w:rsid w:val="38444479"/>
    <w:rsid w:val="38553687"/>
    <w:rsid w:val="39063855"/>
    <w:rsid w:val="3A0A7D06"/>
    <w:rsid w:val="3B745F6D"/>
    <w:rsid w:val="3F5C0DA7"/>
    <w:rsid w:val="3F7E6AFD"/>
    <w:rsid w:val="3FDD4E16"/>
    <w:rsid w:val="40564782"/>
    <w:rsid w:val="40C871BC"/>
    <w:rsid w:val="41957D98"/>
    <w:rsid w:val="41C36E42"/>
    <w:rsid w:val="42231A6F"/>
    <w:rsid w:val="427543D7"/>
    <w:rsid w:val="42F01576"/>
    <w:rsid w:val="42F3059D"/>
    <w:rsid w:val="43B43600"/>
    <w:rsid w:val="4716551F"/>
    <w:rsid w:val="481140B4"/>
    <w:rsid w:val="486F303A"/>
    <w:rsid w:val="48EA2A73"/>
    <w:rsid w:val="49FB01B9"/>
    <w:rsid w:val="4A0C3AA9"/>
    <w:rsid w:val="4A9C3D51"/>
    <w:rsid w:val="4ACE1CF0"/>
    <w:rsid w:val="4B6611F1"/>
    <w:rsid w:val="4CF76A8F"/>
    <w:rsid w:val="4E8C2BB5"/>
    <w:rsid w:val="4ED76466"/>
    <w:rsid w:val="4FA9205F"/>
    <w:rsid w:val="506D7F23"/>
    <w:rsid w:val="511E14DB"/>
    <w:rsid w:val="52FC5060"/>
    <w:rsid w:val="52FF0F83"/>
    <w:rsid w:val="539B6368"/>
    <w:rsid w:val="54004CA3"/>
    <w:rsid w:val="540D0581"/>
    <w:rsid w:val="545416EF"/>
    <w:rsid w:val="54565463"/>
    <w:rsid w:val="549C014B"/>
    <w:rsid w:val="55A30960"/>
    <w:rsid w:val="56800602"/>
    <w:rsid w:val="5763272B"/>
    <w:rsid w:val="579E5E58"/>
    <w:rsid w:val="584649AF"/>
    <w:rsid w:val="592B160A"/>
    <w:rsid w:val="5A0708F6"/>
    <w:rsid w:val="5BB464DE"/>
    <w:rsid w:val="5D240F15"/>
    <w:rsid w:val="5F8334C3"/>
    <w:rsid w:val="616070D7"/>
    <w:rsid w:val="63D71AB4"/>
    <w:rsid w:val="641F1F58"/>
    <w:rsid w:val="64CE57F5"/>
    <w:rsid w:val="65303DFA"/>
    <w:rsid w:val="66575B95"/>
    <w:rsid w:val="692C73F5"/>
    <w:rsid w:val="6A18739C"/>
    <w:rsid w:val="6BFF1EE9"/>
    <w:rsid w:val="6D074AA2"/>
    <w:rsid w:val="6E61292E"/>
    <w:rsid w:val="6F454EE2"/>
    <w:rsid w:val="6FD214C3"/>
    <w:rsid w:val="70CD7F8D"/>
    <w:rsid w:val="711234A6"/>
    <w:rsid w:val="74EB36A4"/>
    <w:rsid w:val="75A4542C"/>
    <w:rsid w:val="7609096F"/>
    <w:rsid w:val="760D2210"/>
    <w:rsid w:val="77830E54"/>
    <w:rsid w:val="77FB5C31"/>
    <w:rsid w:val="77FF1CA3"/>
    <w:rsid w:val="78611C18"/>
    <w:rsid w:val="786505C7"/>
    <w:rsid w:val="787F2991"/>
    <w:rsid w:val="79B97F95"/>
    <w:rsid w:val="79ED2D1E"/>
    <w:rsid w:val="7AC916EF"/>
    <w:rsid w:val="7B29046E"/>
    <w:rsid w:val="7C7E4036"/>
    <w:rsid w:val="7E0503B7"/>
    <w:rsid w:val="7F9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C4C4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4C4C4C"/>
      <w:u w:val="none"/>
    </w:rPr>
  </w:style>
  <w:style w:type="character" w:styleId="14">
    <w:name w:val="HTML Code"/>
    <w:basedOn w:val="7"/>
    <w:qFormat/>
    <w:uiPriority w:val="0"/>
    <w:rPr>
      <w:rFonts w:hint="eastAsia" w:ascii="微软雅黑" w:hAnsi="微软雅黑" w:eastAsia="微软雅黑" w:cs="微软雅黑"/>
      <w:color w:val="262626"/>
      <w:sz w:val="21"/>
      <w:szCs w:val="21"/>
    </w:rPr>
  </w:style>
  <w:style w:type="character" w:styleId="15">
    <w:name w:val="HTML Cite"/>
    <w:basedOn w:val="7"/>
    <w:qFormat/>
    <w:uiPriority w:val="0"/>
  </w:style>
  <w:style w:type="character" w:customStyle="1" w:styleId="16">
    <w:name w:val="span-hover"/>
    <w:basedOn w:val="7"/>
    <w:qFormat/>
    <w:uiPriority w:val="0"/>
  </w:style>
  <w:style w:type="character" w:customStyle="1" w:styleId="17">
    <w:name w:val="span-bg"/>
    <w:basedOn w:val="7"/>
    <w:qFormat/>
    <w:uiPriority w:val="0"/>
  </w:style>
  <w:style w:type="character" w:customStyle="1" w:styleId="18">
    <w:name w:val="span-bg12"/>
    <w:basedOn w:val="7"/>
    <w:qFormat/>
    <w:uiPriority w:val="0"/>
  </w:style>
  <w:style w:type="character" w:customStyle="1" w:styleId="19">
    <w:name w:val="span-hover8"/>
    <w:basedOn w:val="7"/>
    <w:qFormat/>
    <w:uiPriority w:val="0"/>
  </w:style>
  <w:style w:type="paragraph" w:customStyle="1" w:styleId="20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534</Words>
  <Characters>3046</Characters>
  <Lines>25</Lines>
  <Paragraphs>7</Paragraphs>
  <TotalTime>14</TotalTime>
  <ScaleCrop>false</ScaleCrop>
  <LinksUpToDate>false</LinksUpToDate>
  <CharactersWithSpaces>3573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2017-02-24T03:25:00Z</dcterms:created>
  <dc:creator>lenovo</dc:creator>
  <cp:lastModifiedBy>柯柯妈</cp:lastModifiedBy>
  <cp:lastPrinted>2018-02-06T02:53:00Z</cp:lastPrinted>
  <dcterms:modified xsi:type="dcterms:W3CDTF">2020-12-14T07:52:01Z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