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E" w:rsidRDefault="00FA2FAD">
      <w:pPr>
        <w:pStyle w:val="a3"/>
        <w:widowControl/>
        <w:spacing w:before="0" w:beforeAutospacing="0" w:after="0" w:afterAutospacing="0"/>
        <w:ind w:firstLineChars="0" w:firstLine="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DD716E" w:rsidRDefault="00DD716E">
      <w:pPr>
        <w:pStyle w:val="a3"/>
        <w:widowControl/>
        <w:spacing w:before="0" w:beforeAutospacing="0" w:after="0" w:afterAutospacing="0"/>
        <w:ind w:firstLineChars="0" w:firstLine="0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DD716E" w:rsidRDefault="005A6648">
      <w:pPr>
        <w:pStyle w:val="a3"/>
        <w:widowControl/>
        <w:spacing w:before="0" w:beforeAutospacing="0" w:after="0" w:afterAutospacing="0"/>
        <w:ind w:firstLineChars="0" w:firstLine="0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2021年</w:t>
      </w:r>
      <w:r w:rsidR="00C72E63">
        <w:rPr>
          <w:rFonts w:ascii="仿宋_GB2312" w:eastAsia="仿宋_GB2312" w:hAnsi="仿宋_GB2312" w:cs="仿宋_GB2312" w:hint="eastAsia"/>
          <w:b/>
          <w:sz w:val="44"/>
          <w:szCs w:val="44"/>
        </w:rPr>
        <w:t>政府信息公开工作年度报告</w:t>
      </w:r>
    </w:p>
    <w:p w:rsidR="00DD716E" w:rsidRDefault="00FA2FAD">
      <w:pPr>
        <w:pStyle w:val="a3"/>
        <w:widowControl/>
        <w:spacing w:before="0" w:beforeAutospacing="0" w:after="0" w:afterAutospacing="0"/>
        <w:ind w:firstLineChars="0" w:firstLine="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一、总体情况</w:t>
      </w:r>
    </w:p>
    <w:p w:rsidR="00C72E63" w:rsidRDefault="00BA44C3" w:rsidP="00BA44C3">
      <w:pPr>
        <w:pStyle w:val="a3"/>
        <w:widowControl/>
        <w:spacing w:before="0" w:beforeAutospacing="0" w:after="0" w:afterAutospacing="0"/>
        <w:ind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年，望城区市场监管局贯彻落实中共中央办公厅、国务院办公厅《关于全面推进政务公开工作的意见》和《中华人民共和国政府信息公开条例》要求，全面开展政务公开建设，把政务公开工作与市场监管工作紧密结合，推动政务公开工作责任制具体化、程序化、制度化，截至202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1</w:t>
      </w: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年12月31日，区市场监管局在望城区政所门户网站主动公开政府信息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835</w:t>
      </w: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条，其他方式依申请公开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9</w:t>
      </w: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条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DD716E" w:rsidRDefault="00FA2FAD">
      <w:pPr>
        <w:pStyle w:val="a3"/>
        <w:widowControl/>
        <w:spacing w:before="0" w:beforeAutospacing="0" w:after="0" w:afterAutospacing="0"/>
        <w:ind w:firstLineChars="0" w:firstLine="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DD716E">
        <w:trPr>
          <w:trHeight w:val="567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D716E" w:rsidRDefault="00FA2FAD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第二十条第（一）项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现行有效件数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 w:rsidP="00C72E63">
            <w:pPr>
              <w:widowControl/>
              <w:spacing w:before="100" w:beforeAutospacing="1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DD716E">
        <w:trPr>
          <w:trHeight w:val="567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第二十条第（五）项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BA44C3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 w:rsidRPr="00BA44C3">
              <w:rPr>
                <w:sz w:val="21"/>
                <w:szCs w:val="21"/>
              </w:rPr>
              <w:t>72128</w:t>
            </w:r>
          </w:p>
        </w:tc>
      </w:tr>
      <w:tr w:rsidR="00DD716E">
        <w:trPr>
          <w:trHeight w:val="567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第二十条第（六）项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602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lastRenderedPageBreak/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C72E63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DD716E">
        <w:trPr>
          <w:trHeight w:val="567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第二十条第（八）项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本年收费金额（单位：万元）</w:t>
            </w:r>
          </w:p>
        </w:tc>
      </w:tr>
      <w:tr w:rsidR="00DD716E">
        <w:trPr>
          <w:trHeight w:val="56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FA2FAD">
            <w:pPr>
              <w:widowControl/>
              <w:spacing w:before="100" w:beforeAutospacing="1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D716E" w:rsidRDefault="006F39EA">
            <w:pPr>
              <w:ind w:firstLineChars="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0</w:t>
            </w:r>
          </w:p>
        </w:tc>
      </w:tr>
    </w:tbl>
    <w:p w:rsidR="00DD716E" w:rsidRDefault="00DD716E">
      <w:pPr>
        <w:pStyle w:val="a3"/>
        <w:widowControl/>
        <w:spacing w:before="0" w:beforeAutospacing="0" w:after="0" w:afterAutospacing="0"/>
        <w:ind w:firstLineChars="0" w:firstLine="0"/>
        <w:jc w:val="both"/>
        <w:rPr>
          <w:rFonts w:ascii="宋体" w:eastAsia="宋体" w:hAnsi="宋体" w:cs="宋体"/>
          <w:b/>
        </w:rPr>
      </w:pPr>
    </w:p>
    <w:p w:rsidR="00DD716E" w:rsidRDefault="00FA2FAD">
      <w:pPr>
        <w:pStyle w:val="a3"/>
        <w:widowControl/>
        <w:spacing w:before="0" w:beforeAutospacing="0" w:after="0" w:afterAutospacing="0"/>
        <w:ind w:firstLineChars="0" w:firstLine="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三、收到和处理政府信息公开申请情况</w:t>
      </w:r>
    </w:p>
    <w:tbl>
      <w:tblPr>
        <w:tblW w:w="974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 w:rsidR="00DD716E"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申请人情况</w:t>
            </w:r>
          </w:p>
        </w:tc>
      </w:tr>
      <w:tr w:rsidR="00DD716E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716E" w:rsidRDefault="00DD716E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自</w:t>
            </w:r>
          </w:p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然</w:t>
            </w:r>
          </w:p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总</w:t>
            </w:r>
          </w:p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计</w:t>
            </w:r>
          </w:p>
        </w:tc>
      </w:tr>
      <w:tr w:rsidR="00DD716E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716E" w:rsidRDefault="00DD716E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DD71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商业</w:t>
            </w:r>
          </w:p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科研</w:t>
            </w:r>
          </w:p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社会公益组织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法律服务机构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16E" w:rsidRDefault="00FA2FAD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其他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D716E" w:rsidRDefault="00DD71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  <w:tr w:rsidR="00BA44C3">
        <w:trPr>
          <w:trHeight w:val="397"/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9 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9</w:t>
            </w:r>
          </w:p>
        </w:tc>
      </w:tr>
      <w:tr w:rsidR="00BA44C3" w:rsidTr="00FA3640">
        <w:trPr>
          <w:trHeight w:val="397"/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9C3B81">
        <w:trPr>
          <w:trHeight w:val="336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9C3B81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D0CEA">
        <w:trPr>
          <w:trHeight w:val="352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D0CEA">
        <w:trPr>
          <w:trHeight w:val="302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D0CEA">
        <w:trPr>
          <w:trHeight w:val="335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D0CEA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626981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626981">
        <w:trPr>
          <w:trHeight w:val="31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626981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626981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934735">
        <w:trPr>
          <w:trHeight w:val="336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934735">
        <w:trPr>
          <w:trHeight w:val="336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934735">
        <w:trPr>
          <w:trHeight w:val="336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934735">
        <w:trPr>
          <w:trHeight w:val="352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不予处理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0970C0">
        <w:trPr>
          <w:trHeight w:val="302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2.重复申请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93121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3.要求提供公开出版物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93121">
        <w:trPr>
          <w:trHeight w:val="33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93121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593121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（六）其</w:t>
            </w:r>
            <w:r>
              <w:rPr>
                <w:rFonts w:ascii="仿宋_GB2312" w:eastAsia="仿宋_GB2312" w:hAnsi="仿宋_GB2312" w:cs="仿宋_GB2312" w:hint="eastAsia"/>
                <w:sz w:val="21"/>
              </w:rPr>
              <w:lastRenderedPageBreak/>
              <w:t>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lastRenderedPageBreak/>
              <w:t>1.申请人无正当理由逾期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补正、</w:t>
            </w:r>
            <w:r>
              <w:rPr>
                <w:rFonts w:ascii="仿宋_GB2312" w:eastAsia="仿宋_GB2312" w:hAnsi="仿宋_GB2312" w:cs="仿宋_GB2312" w:hint="eastAsia"/>
                <w:sz w:val="21"/>
              </w:rPr>
              <w:lastRenderedPageBreak/>
              <w:t>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lastRenderedPageBreak/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>
        <w:trPr>
          <w:trHeight w:val="855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</w:rPr>
              <w:t>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0 </w:t>
            </w:r>
          </w:p>
        </w:tc>
      </w:tr>
      <w:tr w:rsidR="00BA44C3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</w:t>
            </w:r>
          </w:p>
        </w:tc>
      </w:tr>
      <w:tr w:rsidR="00BA44C3" w:rsidTr="00EC4034">
        <w:trPr>
          <w:trHeight w:val="397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  <w:tr w:rsidR="00BA44C3" w:rsidTr="00FA3640">
        <w:trPr>
          <w:trHeight w:val="397"/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44C3" w:rsidRDefault="00BA44C3" w:rsidP="0068565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 0</w:t>
            </w:r>
          </w:p>
        </w:tc>
      </w:tr>
    </w:tbl>
    <w:p w:rsidR="00DD716E" w:rsidRDefault="00FA2FAD">
      <w:pPr>
        <w:pStyle w:val="a3"/>
        <w:widowControl/>
        <w:spacing w:before="0" w:beforeAutospacing="0" w:after="0" w:afterAutospacing="0"/>
        <w:ind w:firstLineChars="0" w:firstLine="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DD716E">
        <w:trPr>
          <w:jc w:val="center"/>
        </w:trPr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行政诉讼</w:t>
            </w:r>
          </w:p>
        </w:tc>
      </w:tr>
      <w:tr w:rsidR="00DD716E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复议后起诉</w:t>
            </w:r>
          </w:p>
        </w:tc>
      </w:tr>
      <w:tr w:rsidR="00DD716E">
        <w:trPr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DD716E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DD716E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DD716E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DD716E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DD716E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 w:rsidR="00DD716E">
        <w:trPr>
          <w:trHeight w:val="67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BA44C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  <w:r w:rsidR="00FA2FAD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BA44C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  <w:r w:rsidR="00FA2FAD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BA44C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  <w:r w:rsidR="00FA2FAD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FA2FAD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  <w:r w:rsidR="00BA44C3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BA44C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  <w:r w:rsidR="00FA2FAD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BA44C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  <w:r w:rsidR="00FA2FAD"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6E" w:rsidRDefault="00BA44C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 w:rsidR="00DD716E" w:rsidRDefault="00DD716E" w:rsidP="00C72E63">
      <w:pPr>
        <w:widowControl/>
        <w:ind w:firstLine="640"/>
        <w:jc w:val="left"/>
      </w:pPr>
    </w:p>
    <w:p w:rsidR="00DD716E" w:rsidRDefault="00FA2FAD">
      <w:pPr>
        <w:pStyle w:val="a3"/>
        <w:widowControl/>
        <w:spacing w:before="0" w:beforeAutospacing="0" w:after="0" w:afterAutospacing="0"/>
        <w:ind w:firstLineChars="0" w:firstLine="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五、存在的主要问题及改进情况</w:t>
      </w:r>
    </w:p>
    <w:p w:rsidR="00BA44C3" w:rsidRPr="00BA44C3" w:rsidRDefault="00BA44C3" w:rsidP="00BA44C3">
      <w:pPr>
        <w:pStyle w:val="a3"/>
        <w:widowControl/>
        <w:ind w:firstLine="60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2021</w:t>
      </w: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年，我局政府信息公开工作虽然取得了一定的成绩，但是公开内容与公众需求相比还存在一定差距，主动公开的内容范围需进一步细化，</w:t>
      </w:r>
      <w:proofErr w:type="gramStart"/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便民性需进一步</w:t>
      </w:r>
      <w:proofErr w:type="gramEnd"/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提高，对信息公开的监督力度需要加大。下一步，将重点做好以下工作：</w:t>
      </w:r>
    </w:p>
    <w:p w:rsidR="00BA44C3" w:rsidRPr="00BA44C3" w:rsidRDefault="00BA44C3" w:rsidP="00BA44C3">
      <w:pPr>
        <w:pStyle w:val="a3"/>
        <w:widowControl/>
        <w:ind w:firstLine="60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一是进一步加大主动公开力度。深入研究食品药品监管信息，按照《政府信息公开条例》的规定，细化公开内容，完善公开目录，使之覆盖食品药品监管工作的全过程、各个环节，进一步满足公众对信息的需求，增强监管工作的透明度，促进依法行政。</w:t>
      </w:r>
    </w:p>
    <w:p w:rsidR="00BA44C3" w:rsidRPr="00BA44C3" w:rsidRDefault="00BA44C3" w:rsidP="00BA44C3">
      <w:pPr>
        <w:pStyle w:val="a3"/>
        <w:widowControl/>
        <w:ind w:firstLine="600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二是进一步加强网站建设。按照及时、准确、便民的原则，对网站进行改版和信息整合，增强服务功能。根据食品药品监管工作重点和热点问题，科学设置专题栏目，丰富信息公开内容，进一步提高公开的主动性、针对性和实效性。</w:t>
      </w:r>
    </w:p>
    <w:p w:rsidR="00BA44C3" w:rsidRDefault="00BA44C3" w:rsidP="00BA44C3">
      <w:pPr>
        <w:pStyle w:val="a3"/>
        <w:widowControl/>
        <w:spacing w:before="0" w:beforeAutospacing="0" w:after="0" w:afterAutospacing="0"/>
        <w:ind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BA44C3">
        <w:rPr>
          <w:rFonts w:ascii="仿宋_GB2312" w:eastAsia="仿宋_GB2312" w:hAnsi="仿宋_GB2312" w:cs="仿宋_GB2312" w:hint="eastAsia"/>
          <w:bCs/>
          <w:sz w:val="30"/>
          <w:szCs w:val="30"/>
        </w:rPr>
        <w:t>三是提高依申请公开工作水平。加强对依申请公开工作的研究，准确界定依申请公开的范围和内容，正确区分信息公开与业务咨询，切实做到依法公开。同时，加大沟通协调力度，以积极服务的态度，进一步做好公开申请的受理、办理、答复工作，切实保障群众的合法权益。</w:t>
      </w:r>
    </w:p>
    <w:p w:rsidR="00DD716E" w:rsidRDefault="00FA2FAD" w:rsidP="00BA44C3">
      <w:pPr>
        <w:pStyle w:val="a3"/>
        <w:widowControl/>
        <w:spacing w:before="0" w:beforeAutospacing="0" w:after="0" w:afterAutospacing="0"/>
        <w:ind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六、其他需要报告的事项</w:t>
      </w:r>
    </w:p>
    <w:p w:rsidR="00DD716E" w:rsidRDefault="00BA44C3" w:rsidP="00BA44C3">
      <w:pPr>
        <w:pStyle w:val="a3"/>
        <w:widowControl/>
        <w:spacing w:before="0" w:beforeAutospacing="0" w:after="0" w:afterAutospacing="0"/>
        <w:ind w:firstLine="600"/>
        <w:rPr>
          <w:rFonts w:ascii="仿宋_GB2312" w:eastAsia="仿宋_GB2312" w:hAnsi="仿宋_GB2312" w:cs="仿宋_GB2312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0"/>
          <w:szCs w:val="30"/>
        </w:rPr>
        <w:t>没有</w:t>
      </w:r>
      <w:r w:rsidR="00FA2FAD">
        <w:rPr>
          <w:rFonts w:ascii="仿宋_GB2312" w:eastAsia="仿宋_GB2312" w:hAnsi="仿宋_GB2312" w:cs="仿宋_GB2312" w:hint="eastAsia"/>
          <w:bCs/>
          <w:sz w:val="30"/>
          <w:szCs w:val="30"/>
        </w:rPr>
        <w:t>收取信息处理费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DD716E" w:rsidRDefault="00DD716E">
      <w:pPr>
        <w:ind w:firstLineChars="0" w:firstLine="0"/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D716E" w:rsidRDefault="00DD716E">
      <w:pPr>
        <w:pStyle w:val="a3"/>
        <w:widowControl/>
        <w:spacing w:before="0" w:beforeAutospacing="0" w:after="0" w:afterAutospacing="0" w:line="240" w:lineRule="auto"/>
        <w:ind w:firstLineChars="0" w:firstLine="0"/>
        <w:jc w:val="both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sectPr w:rsidR="00DD7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AD" w:rsidRDefault="00FA2FAD">
      <w:pPr>
        <w:spacing w:line="240" w:lineRule="auto"/>
        <w:ind w:firstLine="640"/>
      </w:pPr>
      <w:r>
        <w:separator/>
      </w:r>
    </w:p>
  </w:endnote>
  <w:endnote w:type="continuationSeparator" w:id="0">
    <w:p w:rsidR="00FA2FAD" w:rsidRDefault="00FA2FA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AD" w:rsidRDefault="00FA2FAD">
      <w:pPr>
        <w:spacing w:line="240" w:lineRule="auto"/>
        <w:ind w:firstLine="640"/>
      </w:pPr>
      <w:r>
        <w:separator/>
      </w:r>
    </w:p>
  </w:footnote>
  <w:footnote w:type="continuationSeparator" w:id="0">
    <w:p w:rsidR="00FA2FAD" w:rsidRDefault="00FA2FA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4E13"/>
    <w:rsid w:val="F6FE24E4"/>
    <w:rsid w:val="FCB76D90"/>
    <w:rsid w:val="00283ECF"/>
    <w:rsid w:val="002B00BC"/>
    <w:rsid w:val="005A6648"/>
    <w:rsid w:val="006F39EA"/>
    <w:rsid w:val="00BA44C3"/>
    <w:rsid w:val="00C72E63"/>
    <w:rsid w:val="00DD716E"/>
    <w:rsid w:val="00FA2FAD"/>
    <w:rsid w:val="1CDEAE7D"/>
    <w:rsid w:val="335B9F8B"/>
    <w:rsid w:val="38CF7436"/>
    <w:rsid w:val="3F9F3DE6"/>
    <w:rsid w:val="3FDF6882"/>
    <w:rsid w:val="5E464E13"/>
    <w:rsid w:val="5F735369"/>
    <w:rsid w:val="6F7D3C86"/>
    <w:rsid w:val="6FCF80E5"/>
    <w:rsid w:val="75BF89DD"/>
    <w:rsid w:val="7B7C4ABB"/>
    <w:rsid w:val="BB7E58F3"/>
    <w:rsid w:val="BBBF96D4"/>
    <w:rsid w:val="BFDE063E"/>
    <w:rsid w:val="EBFB5D1B"/>
    <w:rsid w:val="ECFB46A6"/>
    <w:rsid w:val="EF6BB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883"/>
      <w:jc w:val="both"/>
    </w:pPr>
    <w:rPr>
      <w:rFonts w:ascii="Calibri" w:eastAsia="仿宋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883"/>
      <w:jc w:val="both"/>
    </w:pPr>
    <w:rPr>
      <w:rFonts w:ascii="Calibri" w:eastAsia="仿宋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>微软中国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Changsha</dc:creator>
  <cp:lastModifiedBy>市场监督管理局</cp:lastModifiedBy>
  <cp:revision>2</cp:revision>
  <dcterms:created xsi:type="dcterms:W3CDTF">2022-01-26T08:01:00Z</dcterms:created>
  <dcterms:modified xsi:type="dcterms:W3CDTF">2022-01-26T08:01:00Z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  <property fmtid="{D5CDD505-2E9C-101B-9397-08002B2CF9AE}" pid="3" name="ICV">
    <vt:lpwstr>D6E260BFDB144BF2BBEB82F2D734B8AC</vt:lpwstr>
  </property>
</Properties>
</file>