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40" w:firstLineChars="100"/>
        <w:rPr>
          <w:rFonts w:eastAsia="方正小标宋简体"/>
          <w:kern w:val="0"/>
          <w:sz w:val="44"/>
          <w:szCs w:val="44"/>
        </w:rPr>
      </w:pPr>
      <w:r>
        <w:rPr>
          <w:rFonts w:hint="eastAsia"/>
          <w:kern w:val="0"/>
          <w:sz w:val="44"/>
          <w:szCs w:val="44"/>
          <w:u w:val="single"/>
        </w:rPr>
        <w:t>政务服务中心</w:t>
      </w:r>
      <w:r>
        <w:rPr>
          <w:rFonts w:ascii="方正小标宋简体" w:hAnsi="方正小标宋简体"/>
          <w:kern w:val="0"/>
          <w:sz w:val="44"/>
          <w:szCs w:val="44"/>
        </w:rPr>
        <w:t>整体支出绩效评价自评表</w:t>
      </w:r>
    </w:p>
    <w:tbl>
      <w:tblPr>
        <w:tblStyle w:val="2"/>
        <w:tblW w:w="10940" w:type="dxa"/>
        <w:jc w:val="center"/>
        <w:tblLayout w:type="fixed"/>
        <w:tblCellMar>
          <w:top w:w="0" w:type="dxa"/>
          <w:left w:w="108" w:type="dxa"/>
          <w:bottom w:w="0" w:type="dxa"/>
          <w:right w:w="108" w:type="dxa"/>
        </w:tblCellMar>
      </w:tblPr>
      <w:tblGrid>
        <w:gridCol w:w="648"/>
        <w:gridCol w:w="416"/>
        <w:gridCol w:w="673"/>
        <w:gridCol w:w="416"/>
        <w:gridCol w:w="1072"/>
        <w:gridCol w:w="416"/>
        <w:gridCol w:w="2324"/>
        <w:gridCol w:w="3153"/>
        <w:gridCol w:w="552"/>
        <w:gridCol w:w="1270"/>
      </w:tblGrid>
      <w:tr>
        <w:tblPrEx>
          <w:tblCellMar>
            <w:top w:w="0" w:type="dxa"/>
            <w:left w:w="108" w:type="dxa"/>
            <w:bottom w:w="0" w:type="dxa"/>
            <w:right w:w="108" w:type="dxa"/>
          </w:tblCellMar>
        </w:tblPrEx>
        <w:trPr>
          <w:trHeight w:val="483"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分值</w:t>
            </w:r>
          </w:p>
        </w:tc>
        <w:tc>
          <w:tcPr>
            <w:tcW w:w="67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分值</w:t>
            </w:r>
          </w:p>
        </w:tc>
        <w:tc>
          <w:tcPr>
            <w:tcW w:w="107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三级</w:t>
            </w:r>
          </w:p>
          <w:p>
            <w:pPr>
              <w:widowControl/>
              <w:spacing w:line="280" w:lineRule="exact"/>
              <w:jc w:val="center"/>
              <w:rPr>
                <w:rFonts w:eastAsia="仿宋_GB2312"/>
                <w:kern w:val="0"/>
                <w:sz w:val="20"/>
                <w:szCs w:val="20"/>
              </w:rPr>
            </w:pPr>
            <w:r>
              <w:rPr>
                <w:rFonts w:hint="eastAsia" w:eastAsia="仿宋_GB2312"/>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分值</w:t>
            </w:r>
          </w:p>
        </w:tc>
        <w:tc>
          <w:tcPr>
            <w:tcW w:w="232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评价标准</w:t>
            </w:r>
          </w:p>
        </w:tc>
        <w:tc>
          <w:tcPr>
            <w:tcW w:w="315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指标说明</w:t>
            </w:r>
          </w:p>
        </w:tc>
        <w:tc>
          <w:tcPr>
            <w:tcW w:w="55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得分</w:t>
            </w:r>
          </w:p>
        </w:tc>
        <w:tc>
          <w:tcPr>
            <w:tcW w:w="1270" w:type="dxa"/>
            <w:tcBorders>
              <w:top w:val="single" w:color="auto" w:sz="4" w:space="0"/>
              <w:left w:val="nil"/>
              <w:bottom w:val="single" w:color="auto" w:sz="4" w:space="0"/>
              <w:right w:val="single" w:color="auto" w:sz="4" w:space="0"/>
            </w:tcBorders>
            <w:noWrap w:val="0"/>
            <w:vAlign w:val="top"/>
          </w:tcPr>
          <w:p>
            <w:pPr>
              <w:widowControl/>
              <w:spacing w:line="280" w:lineRule="exact"/>
              <w:jc w:val="center"/>
              <w:rPr>
                <w:rFonts w:eastAsia="仿宋_GB2312"/>
                <w:kern w:val="0"/>
                <w:sz w:val="20"/>
                <w:szCs w:val="20"/>
              </w:rPr>
            </w:pPr>
            <w:r>
              <w:rPr>
                <w:rFonts w:hint="eastAsia" w:eastAsia="仿宋_GB2312"/>
                <w:kern w:val="0"/>
                <w:sz w:val="20"/>
                <w:szCs w:val="20"/>
              </w:rPr>
              <w:t>得分依据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投入</w:t>
            </w:r>
          </w:p>
        </w:tc>
        <w:tc>
          <w:tcPr>
            <w:tcW w:w="416" w:type="dxa"/>
            <w:vMerge w:val="restart"/>
            <w:tcBorders>
              <w:top w:val="nil"/>
              <w:left w:val="nil"/>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13</w:t>
            </w:r>
          </w:p>
        </w:tc>
        <w:tc>
          <w:tcPr>
            <w:tcW w:w="673" w:type="dxa"/>
            <w:vMerge w:val="restart"/>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预算配置</w:t>
            </w:r>
          </w:p>
        </w:tc>
        <w:tc>
          <w:tcPr>
            <w:tcW w:w="416" w:type="dxa"/>
            <w:vMerge w:val="restart"/>
            <w:tcBorders>
              <w:top w:val="nil"/>
              <w:left w:val="nil"/>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13</w:t>
            </w: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nil"/>
              <w:right w:val="nil"/>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3153"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w:t>
            </w:r>
          </w:p>
          <w:p>
            <w:pPr>
              <w:widowControl/>
              <w:spacing w:line="300" w:lineRule="exact"/>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5</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hint="eastAsia" w:eastAsia="仿宋_GB2312"/>
                <w:kern w:val="0"/>
                <w:sz w:val="18"/>
                <w:szCs w:val="18"/>
              </w:rPr>
            </w:pPr>
            <w:r>
              <w:rPr>
                <w:rFonts w:hint="eastAsia" w:eastAsia="仿宋_GB2312"/>
                <w:kern w:val="0"/>
                <w:sz w:val="20"/>
                <w:szCs w:val="20"/>
              </w:rPr>
              <w:t>在职人员控制率</w:t>
            </w:r>
            <w:r>
              <w:rPr>
                <w:rFonts w:hint="eastAsia" w:ascii="宋体" w:hAnsi="宋体"/>
                <w:kern w:val="0"/>
                <w:sz w:val="20"/>
                <w:szCs w:val="20"/>
              </w:rPr>
              <w:t>≦</w:t>
            </w:r>
            <w:r>
              <w:rPr>
                <w:rFonts w:eastAsia="仿宋_GB2312"/>
                <w:kern w:val="0"/>
                <w:sz w:val="20"/>
                <w:szCs w:val="20"/>
              </w:rPr>
              <w:t>100%</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三公经费</w:t>
            </w:r>
          </w:p>
          <w:p>
            <w:pPr>
              <w:widowControl/>
              <w:spacing w:line="320" w:lineRule="exact"/>
              <w:jc w:val="center"/>
              <w:rPr>
                <w:rFonts w:eastAsia="仿宋_GB2312"/>
                <w:kern w:val="0"/>
                <w:sz w:val="20"/>
                <w:szCs w:val="20"/>
              </w:rPr>
            </w:pPr>
            <w:r>
              <w:rPr>
                <w:rFonts w:hint="eastAsia" w:eastAsia="仿宋_GB2312"/>
                <w:kern w:val="0"/>
                <w:sz w:val="20"/>
                <w:szCs w:val="20"/>
              </w:rPr>
              <w:t>变动率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8</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20"/>
                <w:szCs w:val="20"/>
              </w:rPr>
              <w:t>三公经费变动率</w:t>
            </w:r>
            <w:r>
              <w:rPr>
                <w:rFonts w:hint="eastAsia" w:ascii="宋体" w:hAnsi="宋体"/>
                <w:kern w:val="0"/>
                <w:sz w:val="20"/>
                <w:szCs w:val="20"/>
              </w:rPr>
              <w:t>≦</w:t>
            </w:r>
            <w:r>
              <w:rPr>
                <w:rFonts w:eastAsia="仿宋_GB2312"/>
                <w:kern w:val="0"/>
                <w:sz w:val="20"/>
                <w:szCs w:val="20"/>
              </w:rPr>
              <w:t>0</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过程</w:t>
            </w:r>
          </w:p>
        </w:tc>
        <w:tc>
          <w:tcPr>
            <w:tcW w:w="416" w:type="dxa"/>
            <w:vMerge w:val="restart"/>
            <w:tcBorders>
              <w:top w:val="nil"/>
              <w:left w:val="nil"/>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61</w:t>
            </w:r>
          </w:p>
        </w:tc>
        <w:tc>
          <w:tcPr>
            <w:tcW w:w="673" w:type="dxa"/>
            <w:vMerge w:val="restart"/>
            <w:tcBorders>
              <w:top w:val="nil"/>
              <w:left w:val="nil"/>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预算执行</w:t>
            </w:r>
          </w:p>
        </w:tc>
        <w:tc>
          <w:tcPr>
            <w:tcW w:w="416" w:type="dxa"/>
            <w:vMerge w:val="restart"/>
            <w:tcBorders>
              <w:top w:val="nil"/>
              <w:left w:val="nil"/>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20</w:t>
            </w: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w:t>
            </w:r>
          </w:p>
          <w:p>
            <w:pPr>
              <w:widowControl/>
              <w:spacing w:line="320" w:lineRule="exact"/>
              <w:jc w:val="center"/>
              <w:rPr>
                <w:rFonts w:eastAsia="仿宋_GB2312"/>
                <w:kern w:val="0"/>
                <w:sz w:val="20"/>
                <w:szCs w:val="20"/>
              </w:rPr>
            </w:pPr>
            <w:r>
              <w:rPr>
                <w:rFonts w:hint="eastAsia" w:eastAsia="仿宋_GB2312"/>
                <w:kern w:val="0"/>
                <w:sz w:val="20"/>
                <w:szCs w:val="20"/>
              </w:rPr>
              <w:t>完成率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5</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20"/>
                <w:szCs w:val="20"/>
              </w:rPr>
              <w:t>预算完成率100%</w:t>
            </w:r>
          </w:p>
        </w:tc>
      </w:tr>
      <w:tr>
        <w:tblPrEx>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w:t>
            </w:r>
          </w:p>
          <w:p>
            <w:pPr>
              <w:widowControl/>
              <w:spacing w:line="320" w:lineRule="exact"/>
              <w:jc w:val="center"/>
              <w:rPr>
                <w:rFonts w:eastAsia="仿宋_GB2312"/>
                <w:kern w:val="0"/>
                <w:sz w:val="20"/>
                <w:szCs w:val="20"/>
              </w:rPr>
            </w:pPr>
            <w:r>
              <w:rPr>
                <w:rFonts w:hint="eastAsia" w:eastAsia="仿宋_GB2312"/>
                <w:kern w:val="0"/>
                <w:sz w:val="20"/>
                <w:szCs w:val="20"/>
              </w:rPr>
              <w:t>控制率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hint="eastAsia" w:eastAsia="仿宋_GB2312"/>
                <w:kern w:val="0"/>
                <w:sz w:val="24"/>
                <w:szCs w:val="24"/>
              </w:rPr>
            </w:pPr>
            <w:r>
              <w:rPr>
                <w:rFonts w:hint="eastAsia" w:eastAsia="仿宋_GB2312"/>
                <w:kern w:val="0"/>
                <w:sz w:val="24"/>
                <w:szCs w:val="24"/>
              </w:rPr>
              <w:t>　4</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18"/>
                <w:szCs w:val="18"/>
              </w:rPr>
              <w:t>预算控制率12%</w:t>
            </w:r>
          </w:p>
        </w:tc>
      </w:tr>
      <w:tr>
        <w:tblPrEx>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spacing w:line="300" w:lineRule="exact"/>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2014</w:t>
            </w:r>
            <w:r>
              <w:rPr>
                <w:rFonts w:hint="eastAsia" w:eastAsia="仿宋_GB2312"/>
                <w:kern w:val="0"/>
                <w:sz w:val="20"/>
                <w:szCs w:val="20"/>
              </w:rPr>
              <w:t>年完工的新建楼堂馆所为评价内容。</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5</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hint="eastAsia" w:eastAsia="仿宋_GB2312"/>
                <w:kern w:val="0"/>
                <w:sz w:val="18"/>
                <w:szCs w:val="18"/>
              </w:rPr>
            </w:pPr>
            <w:r>
              <w:rPr>
                <w:rFonts w:hint="eastAsia" w:eastAsia="仿宋_GB2312"/>
                <w:kern w:val="0"/>
                <w:sz w:val="18"/>
                <w:szCs w:val="18"/>
              </w:rPr>
              <w:t>无</w:t>
            </w:r>
          </w:p>
        </w:tc>
      </w:tr>
      <w:tr>
        <w:tblPrEx>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spacing w:line="300" w:lineRule="exact"/>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2014</w:t>
            </w:r>
            <w:r>
              <w:rPr>
                <w:rFonts w:hint="eastAsia" w:eastAsia="仿宋_GB2312"/>
                <w:kern w:val="0"/>
                <w:sz w:val="20"/>
                <w:szCs w:val="20"/>
              </w:rPr>
              <w:t>年完工的新建楼堂馆所为评价内容。</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5</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hint="eastAsia" w:eastAsia="仿宋_GB2312"/>
                <w:kern w:val="0"/>
                <w:sz w:val="18"/>
                <w:szCs w:val="18"/>
              </w:rPr>
            </w:pPr>
            <w:r>
              <w:rPr>
                <w:rFonts w:hint="eastAsia" w:eastAsia="仿宋_GB2312"/>
                <w:kern w:val="0"/>
                <w:sz w:val="18"/>
                <w:szCs w:val="18"/>
              </w:rPr>
              <w:t>无</w:t>
            </w:r>
          </w:p>
        </w:tc>
      </w:tr>
      <w:tr>
        <w:tblPrEx>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restart"/>
            <w:tcBorders>
              <w:top w:val="nil"/>
              <w:left w:val="nil"/>
              <w:bottom w:val="single" w:color="000000"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预算管理</w:t>
            </w:r>
          </w:p>
        </w:tc>
        <w:tc>
          <w:tcPr>
            <w:tcW w:w="416" w:type="dxa"/>
            <w:vMerge w:val="restart"/>
            <w:tcBorders>
              <w:top w:val="nil"/>
              <w:left w:val="nil"/>
              <w:bottom w:val="nil"/>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41</w:t>
            </w: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spacing w:line="300" w:lineRule="exact"/>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7</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18"/>
                <w:szCs w:val="18"/>
              </w:rPr>
              <w:t>公用经费控置率1.7%</w:t>
            </w:r>
          </w:p>
        </w:tc>
      </w:tr>
      <w:tr>
        <w:tblPrEx>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8</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18"/>
                <w:szCs w:val="18"/>
              </w:rPr>
              <w:t>三公经费控制率100%</w:t>
            </w:r>
          </w:p>
        </w:tc>
      </w:tr>
      <w:tr>
        <w:tblPrEx>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hint="eastAsia" w:eastAsia="仿宋_GB2312"/>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 xml:space="preserve">×100%                </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6</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18"/>
                <w:szCs w:val="18"/>
              </w:rPr>
              <w:t>政府采购执行率100%</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过程</w:t>
            </w:r>
          </w:p>
        </w:tc>
        <w:tc>
          <w:tcPr>
            <w:tcW w:w="416" w:type="dxa"/>
            <w:vMerge w:val="restart"/>
            <w:tcBorders>
              <w:top w:val="nil"/>
              <w:left w:val="nil"/>
              <w:bottom w:val="single" w:color="auto" w:sz="4" w:space="0"/>
              <w:right w:val="single" w:color="auto" w:sz="4" w:space="0"/>
            </w:tcBorders>
            <w:noWrap w:val="0"/>
            <w:vAlign w:val="center"/>
          </w:tcPr>
          <w:p>
            <w:pPr>
              <w:spacing w:line="280" w:lineRule="exact"/>
              <w:jc w:val="left"/>
              <w:rPr>
                <w:rFonts w:eastAsia="仿宋_GB2312"/>
                <w:kern w:val="0"/>
                <w:sz w:val="20"/>
                <w:szCs w:val="20"/>
              </w:rPr>
            </w:pPr>
            <w:r>
              <w:rPr>
                <w:rFonts w:eastAsia="仿宋_GB2312"/>
                <w:kern w:val="0"/>
                <w:sz w:val="20"/>
                <w:szCs w:val="20"/>
              </w:rPr>
              <w:t>61</w:t>
            </w:r>
          </w:p>
        </w:tc>
        <w:tc>
          <w:tcPr>
            <w:tcW w:w="673" w:type="dxa"/>
            <w:vMerge w:val="restart"/>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预算管理</w:t>
            </w:r>
          </w:p>
        </w:tc>
        <w:tc>
          <w:tcPr>
            <w:tcW w:w="416" w:type="dxa"/>
            <w:vMerge w:val="restart"/>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eastAsia="仿宋_GB2312"/>
                <w:kern w:val="0"/>
                <w:sz w:val="20"/>
                <w:szCs w:val="20"/>
              </w:rPr>
              <w:t>41</w:t>
            </w:r>
          </w:p>
        </w:tc>
        <w:tc>
          <w:tcPr>
            <w:tcW w:w="107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管理制度健全性</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0"/>
                <w:szCs w:val="20"/>
              </w:rPr>
            </w:pPr>
            <w:r>
              <w:rPr>
                <w:rFonts w:hint="eastAsia"/>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hint="eastAsia"/>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hint="eastAsia"/>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3153"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　</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8</w:t>
            </w:r>
          </w:p>
        </w:tc>
        <w:tc>
          <w:tcPr>
            <w:tcW w:w="1270" w:type="dxa"/>
            <w:tcBorders>
              <w:top w:val="nil"/>
              <w:left w:val="nil"/>
              <w:bottom w:val="single" w:color="auto" w:sz="4" w:space="0"/>
              <w:right w:val="single" w:color="auto" w:sz="4" w:space="0"/>
            </w:tcBorders>
            <w:noWrap w:val="0"/>
            <w:vAlign w:val="top"/>
          </w:tcPr>
          <w:p>
            <w:pPr>
              <w:widowControl/>
              <w:spacing w:line="240" w:lineRule="exact"/>
              <w:jc w:val="left"/>
              <w:rPr>
                <w:rFonts w:eastAsia="仿宋_GB2312"/>
                <w:kern w:val="0"/>
                <w:sz w:val="20"/>
                <w:szCs w:val="20"/>
              </w:rPr>
            </w:pPr>
            <w:r>
              <w:rPr>
                <w:rFonts w:hint="eastAsia" w:eastAsia="仿宋_GB2312"/>
                <w:kern w:val="0"/>
                <w:sz w:val="20"/>
                <w:szCs w:val="20"/>
              </w:rPr>
              <w:t>有内部财务管理制度、会计核算制度等管理制度，</w:t>
            </w:r>
          </w:p>
          <w:p>
            <w:pPr>
              <w:widowControl/>
              <w:spacing w:line="240" w:lineRule="exact"/>
              <w:jc w:val="left"/>
              <w:rPr>
                <w:rFonts w:eastAsia="仿宋_GB2312"/>
                <w:kern w:val="0"/>
                <w:sz w:val="20"/>
                <w:szCs w:val="20"/>
              </w:rPr>
            </w:pPr>
            <w:r>
              <w:rPr>
                <w:rFonts w:hint="eastAsia" w:eastAsia="仿宋_GB2312"/>
                <w:kern w:val="0"/>
                <w:sz w:val="20"/>
                <w:szCs w:val="20"/>
              </w:rPr>
              <w:t>有本部门厉行节约制度；</w:t>
            </w:r>
          </w:p>
          <w:p>
            <w:pPr>
              <w:widowControl/>
              <w:spacing w:line="280" w:lineRule="exact"/>
              <w:jc w:val="left"/>
              <w:rPr>
                <w:rFonts w:eastAsia="仿宋_GB2312"/>
                <w:kern w:val="0"/>
                <w:sz w:val="18"/>
                <w:szCs w:val="18"/>
              </w:rPr>
            </w:pPr>
            <w:r>
              <w:rPr>
                <w:rFonts w:hint="eastAsia" w:eastAsia="仿宋_GB2312"/>
                <w:kern w:val="0"/>
                <w:sz w:val="20"/>
                <w:szCs w:val="20"/>
              </w:rPr>
              <w:t>相关管理制度合法、合规、完整；相关管理制度得到有效执行。</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资金使用合规性</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0"/>
                <w:szCs w:val="20"/>
              </w:rPr>
            </w:pPr>
            <w:r>
              <w:rPr>
                <w:rFonts w:hint="eastAsia"/>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kern w:val="0"/>
                <w:sz w:val="20"/>
                <w:szCs w:val="20"/>
              </w:rPr>
              <w:t>②</w:t>
            </w:r>
            <w:r>
              <w:rPr>
                <w:rFonts w:hint="eastAsia" w:eastAsia="仿宋_GB2312"/>
                <w:kern w:val="0"/>
                <w:sz w:val="20"/>
                <w:szCs w:val="20"/>
              </w:rPr>
              <w:t>资金拨付有完整的审批程序和手续；</w:t>
            </w:r>
            <w:r>
              <w:rPr>
                <w:rFonts w:hint="eastAsia"/>
                <w:kern w:val="0"/>
                <w:sz w:val="20"/>
                <w:szCs w:val="20"/>
              </w:rPr>
              <w:t>③</w:t>
            </w:r>
            <w:r>
              <w:rPr>
                <w:rFonts w:hint="eastAsia" w:eastAsia="仿宋_GB2312"/>
                <w:kern w:val="0"/>
                <w:sz w:val="20"/>
                <w:szCs w:val="20"/>
              </w:rPr>
              <w:t>项目支出按规定经过评估论证；</w:t>
            </w:r>
            <w:r>
              <w:rPr>
                <w:rFonts w:hint="eastAsia"/>
                <w:kern w:val="0"/>
                <w:sz w:val="20"/>
                <w:szCs w:val="20"/>
              </w:rPr>
              <w:t>④</w:t>
            </w:r>
            <w:r>
              <w:rPr>
                <w:rFonts w:hint="eastAsia" w:eastAsia="仿宋_GB2312"/>
                <w:kern w:val="0"/>
                <w:sz w:val="20"/>
                <w:szCs w:val="20"/>
              </w:rPr>
              <w:t>支出符合部门预算批复的用途；</w:t>
            </w:r>
            <w:r>
              <w:rPr>
                <w:rFonts w:hint="eastAsia"/>
                <w:kern w:val="0"/>
                <w:sz w:val="20"/>
                <w:szCs w:val="20"/>
              </w:rPr>
              <w:t>⑤</w:t>
            </w:r>
            <w:r>
              <w:rPr>
                <w:rFonts w:hint="eastAsia" w:eastAsia="仿宋_GB2312"/>
                <w:kern w:val="0"/>
                <w:sz w:val="20"/>
                <w:szCs w:val="20"/>
              </w:rPr>
              <w:t>资金使用无截留、挤占、挪用、虚列支出等情况。</w:t>
            </w:r>
          </w:p>
          <w:p>
            <w:pPr>
              <w:widowControl/>
              <w:spacing w:line="240" w:lineRule="exact"/>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3153"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　</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6　</w:t>
            </w:r>
          </w:p>
        </w:tc>
        <w:tc>
          <w:tcPr>
            <w:tcW w:w="1270" w:type="dxa"/>
            <w:tcBorders>
              <w:top w:val="nil"/>
              <w:left w:val="nil"/>
              <w:bottom w:val="single" w:color="auto" w:sz="4" w:space="0"/>
              <w:right w:val="single" w:color="auto" w:sz="4" w:space="0"/>
            </w:tcBorders>
            <w:noWrap w:val="0"/>
            <w:vAlign w:val="top"/>
          </w:tcPr>
          <w:p>
            <w:pPr>
              <w:widowControl/>
              <w:spacing w:line="240" w:lineRule="exact"/>
              <w:jc w:val="left"/>
              <w:rPr>
                <w:rFonts w:eastAsia="仿宋_GB2312"/>
                <w:kern w:val="0"/>
                <w:sz w:val="20"/>
                <w:szCs w:val="20"/>
              </w:rPr>
            </w:pPr>
            <w:r>
              <w:rPr>
                <w:rFonts w:hint="eastAsia" w:eastAsia="仿宋_GB2312"/>
                <w:kern w:val="0"/>
                <w:sz w:val="20"/>
                <w:szCs w:val="20"/>
              </w:rPr>
              <w:t>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widowControl/>
              <w:spacing w:line="280" w:lineRule="exact"/>
              <w:jc w:val="left"/>
              <w:rPr>
                <w:rFonts w:eastAsia="仿宋_GB2312"/>
                <w:kern w:val="0"/>
                <w:sz w:val="18"/>
                <w:szCs w:val="18"/>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spacing w:val="-17"/>
                <w:kern w:val="0"/>
                <w:sz w:val="20"/>
                <w:szCs w:val="20"/>
              </w:rPr>
              <w:t>预决算信息</w:t>
            </w:r>
            <w:r>
              <w:rPr>
                <w:rFonts w:hint="eastAsia" w:eastAsia="仿宋_GB2312"/>
                <w:kern w:val="0"/>
                <w:sz w:val="20"/>
                <w:szCs w:val="20"/>
              </w:rPr>
              <w:t>公开性</w:t>
            </w:r>
          </w:p>
        </w:tc>
        <w:tc>
          <w:tcPr>
            <w:tcW w:w="416"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0"/>
                <w:szCs w:val="20"/>
              </w:rPr>
            </w:pPr>
            <w:r>
              <w:rPr>
                <w:rFonts w:hint="eastAsia"/>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3153"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5</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eastAsia="仿宋_GB2312"/>
                <w:kern w:val="0"/>
                <w:sz w:val="18"/>
                <w:szCs w:val="18"/>
              </w:rPr>
            </w:pPr>
            <w:r>
              <w:rPr>
                <w:rFonts w:hint="eastAsia" w:eastAsia="仿宋_GB2312"/>
                <w:kern w:val="0"/>
                <w:sz w:val="20"/>
                <w:szCs w:val="20"/>
              </w:rPr>
              <w:t>按规定内容公开预决算信息按规定时限公开预决算信息基础数据信息和会计信息资料真实、基础数据信息和会计信息资料完整、基础数据信息和汇集信息资料准确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产出及效率</w:t>
            </w:r>
          </w:p>
        </w:tc>
        <w:tc>
          <w:tcPr>
            <w:tcW w:w="416"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26</w:t>
            </w:r>
          </w:p>
        </w:tc>
        <w:tc>
          <w:tcPr>
            <w:tcW w:w="673"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1072" w:type="dxa"/>
            <w:tcBorders>
              <w:top w:val="nil"/>
              <w:left w:val="nil"/>
              <w:bottom w:val="nil"/>
              <w:right w:val="single" w:color="auto" w:sz="4" w:space="0"/>
            </w:tcBorders>
            <w:noWrap w:val="0"/>
            <w:vAlign w:val="center"/>
          </w:tcPr>
          <w:p>
            <w:pPr>
              <w:widowControl/>
              <w:spacing w:line="280" w:lineRule="exact"/>
              <w:jc w:val="center"/>
              <w:rPr>
                <w:rFonts w:eastAsia="仿宋_GB2312"/>
                <w:spacing w:val="-20"/>
                <w:kern w:val="0"/>
                <w:sz w:val="20"/>
                <w:szCs w:val="20"/>
              </w:rPr>
            </w:pPr>
            <w:r>
              <w:rPr>
                <w:rFonts w:hint="eastAsia" w:eastAsia="仿宋_GB2312"/>
                <w:spacing w:val="-20"/>
                <w:kern w:val="0"/>
                <w:sz w:val="20"/>
                <w:szCs w:val="20"/>
              </w:rPr>
              <w:t>重点工作</w:t>
            </w:r>
          </w:p>
          <w:p>
            <w:pPr>
              <w:widowControl/>
              <w:spacing w:line="280" w:lineRule="exact"/>
              <w:jc w:val="center"/>
              <w:rPr>
                <w:rFonts w:eastAsia="仿宋_GB2312"/>
                <w:kern w:val="0"/>
                <w:sz w:val="20"/>
                <w:szCs w:val="20"/>
              </w:rPr>
            </w:pPr>
            <w:r>
              <w:rPr>
                <w:rFonts w:hint="eastAsia" w:eastAsia="仿宋_GB2312"/>
                <w:spacing w:val="-20"/>
                <w:kern w:val="0"/>
                <w:sz w:val="20"/>
                <w:szCs w:val="20"/>
              </w:rPr>
              <w:t>实际完成率</w:t>
            </w:r>
          </w:p>
        </w:tc>
        <w:tc>
          <w:tcPr>
            <w:tcW w:w="416"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0"/>
                <w:szCs w:val="20"/>
              </w:rPr>
            </w:pPr>
            <w:r>
              <w:rPr>
                <w:rFonts w:hint="eastAsia" w:eastAsia="仿宋_GB2312"/>
                <w:kern w:val="0"/>
                <w:sz w:val="20"/>
                <w:szCs w:val="20"/>
              </w:rPr>
              <w:t>根据绩效办对各部门为民办实事和部门重点工程与重点工作考核分数折算。</w:t>
            </w:r>
          </w:p>
          <w:p>
            <w:pPr>
              <w:widowControl/>
              <w:spacing w:line="240" w:lineRule="exact"/>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/350</w:t>
            </w:r>
            <w:r>
              <w:rPr>
                <w:rFonts w:hint="eastAsia" w:eastAsia="仿宋_GB2312"/>
                <w:kern w:val="0"/>
                <w:sz w:val="20"/>
                <w:szCs w:val="20"/>
              </w:rPr>
              <w:t>）</w:t>
            </w:r>
            <w:r>
              <w:rPr>
                <w:rFonts w:eastAsia="仿宋_GB2312"/>
                <w:kern w:val="0"/>
                <w:sz w:val="20"/>
                <w:szCs w:val="20"/>
              </w:rPr>
              <w:t>*8</w:t>
            </w:r>
          </w:p>
        </w:tc>
        <w:tc>
          <w:tcPr>
            <w:tcW w:w="3153"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　</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8</w:t>
            </w:r>
          </w:p>
        </w:tc>
        <w:tc>
          <w:tcPr>
            <w:tcW w:w="1270" w:type="dxa"/>
            <w:tcBorders>
              <w:top w:val="nil"/>
              <w:left w:val="nil"/>
              <w:bottom w:val="single" w:color="auto" w:sz="4" w:space="0"/>
              <w:right w:val="single" w:color="auto" w:sz="4" w:space="0"/>
            </w:tcBorders>
            <w:noWrap w:val="0"/>
            <w:vAlign w:val="top"/>
          </w:tcPr>
          <w:p>
            <w:pPr>
              <w:widowControl/>
              <w:spacing w:line="280" w:lineRule="exact"/>
              <w:jc w:val="center"/>
              <w:rPr>
                <w:rFonts w:eastAsia="仿宋_GB2312"/>
                <w:spacing w:val="-20"/>
                <w:kern w:val="0"/>
                <w:sz w:val="20"/>
                <w:szCs w:val="20"/>
              </w:rPr>
            </w:pPr>
            <w:r>
              <w:rPr>
                <w:rFonts w:hint="eastAsia" w:eastAsia="仿宋_GB2312"/>
                <w:spacing w:val="-20"/>
                <w:kern w:val="0"/>
                <w:sz w:val="20"/>
                <w:szCs w:val="20"/>
              </w:rPr>
              <w:t>重点工作</w:t>
            </w:r>
          </w:p>
          <w:p>
            <w:pPr>
              <w:widowControl/>
              <w:spacing w:line="280" w:lineRule="exact"/>
              <w:jc w:val="left"/>
              <w:rPr>
                <w:rFonts w:eastAsia="仿宋_GB2312"/>
                <w:kern w:val="0"/>
                <w:sz w:val="18"/>
                <w:szCs w:val="18"/>
              </w:rPr>
            </w:pPr>
            <w:r>
              <w:rPr>
                <w:rFonts w:hint="eastAsia" w:eastAsia="仿宋_GB2312"/>
                <w:spacing w:val="-20"/>
                <w:kern w:val="0"/>
                <w:sz w:val="20"/>
                <w:szCs w:val="20"/>
              </w:rPr>
              <w:t>实际完成率100%</w:t>
            </w:r>
          </w:p>
        </w:tc>
      </w:tr>
      <w:tr>
        <w:tblPrEx>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w:t>
            </w:r>
            <w:r>
              <w:rPr>
                <w:rFonts w:hint="eastAsia" w:eastAsia="仿宋_GB2312"/>
                <w:kern w:val="0"/>
                <w:sz w:val="20"/>
                <w:szCs w:val="20"/>
              </w:rPr>
              <w:t>效益</w:t>
            </w:r>
          </w:p>
        </w:tc>
        <w:tc>
          <w:tcPr>
            <w:tcW w:w="416"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107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经济效益</w:t>
            </w:r>
          </w:p>
        </w:tc>
        <w:tc>
          <w:tcPr>
            <w:tcW w:w="416" w:type="dxa"/>
            <w:vMerge w:val="restart"/>
            <w:tcBorders>
              <w:top w:val="nil"/>
              <w:left w:val="nil"/>
              <w:bottom w:val="nil"/>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vMerge w:val="restart"/>
            <w:tcBorders>
              <w:top w:val="nil"/>
              <w:left w:val="nil"/>
              <w:bottom w:val="nil"/>
              <w:right w:val="single" w:color="000000" w:sz="4" w:space="0"/>
            </w:tcBorders>
            <w:noWrap w:val="0"/>
            <w:vAlign w:val="center"/>
          </w:tcPr>
          <w:p>
            <w:pPr>
              <w:widowControl/>
              <w:spacing w:line="240" w:lineRule="exact"/>
              <w:jc w:val="left"/>
              <w:rPr>
                <w:rFonts w:eastAsia="仿宋_GB2312"/>
                <w:color w:val="C00000"/>
                <w:kern w:val="0"/>
                <w:sz w:val="20"/>
                <w:szCs w:val="20"/>
              </w:rPr>
            </w:pPr>
            <w:r>
              <w:rPr>
                <w:rFonts w:hint="eastAsia" w:eastAsia="仿宋_GB2312"/>
                <w:kern w:val="0"/>
                <w:sz w:val="20"/>
                <w:szCs w:val="20"/>
              </w:rPr>
              <w:t>按要求实行涉房、涉建项目“一票制”收费，并一个窗口收费；</w:t>
            </w:r>
            <w:r>
              <w:rPr>
                <w:rFonts w:hint="eastAsia" w:eastAsia="仿宋_GB2312"/>
                <w:kern w:val="0"/>
                <w:sz w:val="20"/>
                <w:szCs w:val="20"/>
                <w:lang w:eastAsia="zh-CN"/>
              </w:rPr>
              <w:t>（该项目完成得</w:t>
            </w:r>
            <w:r>
              <w:rPr>
                <w:rFonts w:hint="eastAsia" w:eastAsia="仿宋_GB2312"/>
                <w:kern w:val="0"/>
                <w:sz w:val="20"/>
                <w:szCs w:val="20"/>
                <w:lang w:val="en-US" w:eastAsia="zh-CN"/>
              </w:rPr>
              <w:t>3分</w:t>
            </w:r>
            <w:r>
              <w:rPr>
                <w:rFonts w:hint="eastAsia" w:eastAsia="仿宋_GB2312"/>
                <w:kern w:val="0"/>
                <w:sz w:val="20"/>
                <w:szCs w:val="20"/>
                <w:lang w:eastAsia="zh-CN"/>
              </w:rPr>
              <w:t>）</w:t>
            </w:r>
            <w:r>
              <w:rPr>
                <w:rFonts w:hint="eastAsia" w:eastAsia="仿宋_GB2312"/>
                <w:kern w:val="0"/>
                <w:sz w:val="20"/>
                <w:szCs w:val="20"/>
              </w:rPr>
              <w:t>开通老、弱、病、残、孕及重大投资项目行政审批绿色通道</w:t>
            </w:r>
            <w:r>
              <w:rPr>
                <w:rFonts w:hint="eastAsia" w:eastAsia="仿宋_GB2312"/>
                <w:kern w:val="0"/>
                <w:sz w:val="20"/>
                <w:szCs w:val="20"/>
                <w:lang w:eastAsia="zh-CN"/>
              </w:rPr>
              <w:t>（该项目完成得</w:t>
            </w:r>
            <w:r>
              <w:rPr>
                <w:rFonts w:hint="eastAsia" w:eastAsia="仿宋_GB2312"/>
                <w:kern w:val="0"/>
                <w:sz w:val="20"/>
                <w:szCs w:val="20"/>
                <w:lang w:val="en-US" w:eastAsia="zh-CN"/>
              </w:rPr>
              <w:t>3分</w:t>
            </w:r>
            <w:r>
              <w:rPr>
                <w:rFonts w:hint="eastAsia" w:eastAsia="仿宋_GB2312"/>
                <w:kern w:val="0"/>
                <w:sz w:val="20"/>
                <w:szCs w:val="20"/>
                <w:lang w:eastAsia="zh-CN"/>
              </w:rPr>
              <w:t>）</w:t>
            </w:r>
          </w:p>
        </w:tc>
        <w:tc>
          <w:tcPr>
            <w:tcW w:w="3153" w:type="dxa"/>
            <w:vMerge w:val="restart"/>
            <w:tcBorders>
              <w:top w:val="nil"/>
              <w:left w:val="nil"/>
              <w:bottom w:val="nil"/>
              <w:right w:val="single" w:color="000000" w:sz="4" w:space="0"/>
            </w:tcBorders>
            <w:noWrap w:val="0"/>
            <w:vAlign w:val="center"/>
          </w:tcPr>
          <w:p>
            <w:pPr>
              <w:widowControl/>
              <w:spacing w:line="240" w:lineRule="exact"/>
              <w:jc w:val="left"/>
              <w:rPr>
                <w:rFonts w:hint="eastAsia" w:eastAsia="仿宋_GB2312"/>
                <w:kern w:val="0"/>
                <w:sz w:val="20"/>
                <w:szCs w:val="20"/>
              </w:rPr>
            </w:pPr>
          </w:p>
        </w:tc>
        <w:tc>
          <w:tcPr>
            <w:tcW w:w="552" w:type="dxa"/>
            <w:vMerge w:val="restart"/>
            <w:tcBorders>
              <w:top w:val="nil"/>
              <w:left w:val="nil"/>
              <w:bottom w:val="nil"/>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6</w:t>
            </w:r>
          </w:p>
        </w:tc>
        <w:tc>
          <w:tcPr>
            <w:tcW w:w="1270" w:type="dxa"/>
            <w:tcBorders>
              <w:top w:val="nil"/>
              <w:left w:val="nil"/>
              <w:bottom w:val="nil"/>
              <w:right w:val="single" w:color="auto" w:sz="4" w:space="0"/>
            </w:tcBorders>
            <w:noWrap w:val="0"/>
            <w:vAlign w:val="top"/>
          </w:tcPr>
          <w:p>
            <w:pPr>
              <w:widowControl/>
              <w:spacing w:line="280" w:lineRule="exact"/>
              <w:jc w:val="left"/>
              <w:rPr>
                <w:rFonts w:eastAsia="仿宋_GB2312"/>
                <w:kern w:val="0"/>
                <w:sz w:val="18"/>
                <w:szCs w:val="18"/>
              </w:rPr>
            </w:pPr>
            <w:r>
              <w:rPr>
                <w:rFonts w:hint="eastAsia" w:ascii="宋体" w:hAnsi="宋体"/>
                <w:kern w:val="0"/>
                <w:sz w:val="15"/>
                <w:szCs w:val="15"/>
              </w:rPr>
              <w:t>规范高效、公开透明、便民利民、服务一流</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hint="eastAsia" w:eastAsia="仿宋_GB2312"/>
                <w:kern w:val="0"/>
                <w:sz w:val="20"/>
                <w:szCs w:val="20"/>
              </w:rPr>
              <w:t>社会效益</w:t>
            </w: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2324" w:type="dxa"/>
            <w:vMerge w:val="continue"/>
            <w:tcBorders>
              <w:top w:val="nil"/>
              <w:left w:val="nil"/>
              <w:bottom w:val="nil"/>
              <w:right w:val="single" w:color="000000" w:sz="4" w:space="0"/>
            </w:tcBorders>
            <w:noWrap w:val="0"/>
            <w:vAlign w:val="center"/>
          </w:tcPr>
          <w:p>
            <w:pPr>
              <w:widowControl/>
              <w:jc w:val="left"/>
              <w:rPr>
                <w:rFonts w:eastAsia="仿宋_GB2312"/>
                <w:kern w:val="0"/>
                <w:sz w:val="20"/>
                <w:szCs w:val="20"/>
              </w:rPr>
            </w:pPr>
          </w:p>
        </w:tc>
        <w:tc>
          <w:tcPr>
            <w:tcW w:w="3153" w:type="dxa"/>
            <w:vMerge w:val="continue"/>
            <w:tcBorders>
              <w:top w:val="nil"/>
              <w:left w:val="nil"/>
              <w:bottom w:val="nil"/>
              <w:right w:val="single" w:color="000000" w:sz="4" w:space="0"/>
            </w:tcBorders>
            <w:noWrap w:val="0"/>
            <w:vAlign w:val="center"/>
          </w:tcPr>
          <w:p>
            <w:pPr>
              <w:widowControl/>
              <w:jc w:val="left"/>
              <w:rPr>
                <w:rFonts w:eastAsia="仿宋_GB2312"/>
                <w:kern w:val="0"/>
                <w:sz w:val="20"/>
                <w:szCs w:val="20"/>
              </w:rPr>
            </w:pPr>
          </w:p>
        </w:tc>
        <w:tc>
          <w:tcPr>
            <w:tcW w:w="552" w:type="dxa"/>
            <w:vMerge w:val="continue"/>
            <w:tcBorders>
              <w:top w:val="nil"/>
              <w:left w:val="nil"/>
              <w:bottom w:val="nil"/>
              <w:right w:val="single" w:color="auto" w:sz="4" w:space="0"/>
            </w:tcBorders>
            <w:noWrap w:val="0"/>
            <w:vAlign w:val="center"/>
          </w:tcPr>
          <w:p>
            <w:pPr>
              <w:widowControl/>
              <w:jc w:val="left"/>
              <w:rPr>
                <w:rFonts w:eastAsia="仿宋_GB2312"/>
                <w:kern w:val="0"/>
                <w:sz w:val="24"/>
                <w:szCs w:val="24"/>
              </w:rPr>
            </w:pPr>
          </w:p>
        </w:tc>
        <w:tc>
          <w:tcPr>
            <w:tcW w:w="1270" w:type="dxa"/>
            <w:tcBorders>
              <w:top w:val="nil"/>
              <w:left w:val="nil"/>
              <w:bottom w:val="nil"/>
              <w:right w:val="single" w:color="auto" w:sz="4" w:space="0"/>
            </w:tcBorders>
            <w:noWrap w:val="0"/>
            <w:vAlign w:val="top"/>
          </w:tcPr>
          <w:p>
            <w:pPr>
              <w:widowControl/>
              <w:spacing w:line="280" w:lineRule="exact"/>
              <w:jc w:val="left"/>
              <w:rPr>
                <w:rFonts w:eastAsia="仿宋_GB2312"/>
                <w:kern w:val="0"/>
                <w:sz w:val="18"/>
                <w:szCs w:val="18"/>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restart"/>
            <w:tcBorders>
              <w:top w:val="nil"/>
              <w:left w:val="nil"/>
              <w:bottom w:val="single" w:color="000000"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12</w:t>
            </w:r>
          </w:p>
        </w:tc>
        <w:tc>
          <w:tcPr>
            <w:tcW w:w="107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3153"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根据部门自评材料评定。</w:t>
            </w:r>
          </w:p>
        </w:tc>
        <w:tc>
          <w:tcPr>
            <w:tcW w:w="552"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6　</w:t>
            </w:r>
          </w:p>
        </w:tc>
        <w:tc>
          <w:tcPr>
            <w:tcW w:w="1270" w:type="dxa"/>
            <w:tcBorders>
              <w:top w:val="single" w:color="auto" w:sz="4" w:space="0"/>
              <w:left w:val="nil"/>
              <w:bottom w:val="single" w:color="auto" w:sz="4" w:space="0"/>
              <w:right w:val="single" w:color="auto" w:sz="4" w:space="0"/>
            </w:tcBorders>
            <w:noWrap w:val="0"/>
            <w:vAlign w:val="top"/>
          </w:tcPr>
          <w:p>
            <w:pPr>
              <w:widowControl/>
              <w:spacing w:line="280" w:lineRule="exact"/>
              <w:jc w:val="left"/>
              <w:rPr>
                <w:rFonts w:hint="eastAsia" w:eastAsia="仿宋_GB2312"/>
                <w:kern w:val="0"/>
                <w:sz w:val="18"/>
                <w:szCs w:val="18"/>
              </w:rPr>
            </w:pPr>
            <w:r>
              <w:rPr>
                <w:rFonts w:hint="eastAsia" w:eastAsia="仿宋_GB2312"/>
                <w:kern w:val="0"/>
                <w:sz w:val="18"/>
                <w:szCs w:val="18"/>
              </w:rPr>
              <w:t>促进部门改进文风风会加强经费及资产管理，推动网上办事，提高行政效率，降低行政成本效果很好</w:t>
            </w:r>
          </w:p>
        </w:tc>
      </w:tr>
      <w:tr>
        <w:tblPrEx>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7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bookmarkStart w:id="0" w:name="_GoBack"/>
            <w:bookmarkEnd w:id="0"/>
          </w:p>
          <w:p>
            <w:pPr>
              <w:widowControl/>
              <w:spacing w:line="240" w:lineRule="exact"/>
              <w:jc w:val="left"/>
              <w:rPr>
                <w:rFonts w:eastAsia="仿宋_GB2312"/>
                <w:kern w:val="0"/>
                <w:sz w:val="20"/>
                <w:szCs w:val="20"/>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spacing w:line="240" w:lineRule="exact"/>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3153"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552" w:type="dxa"/>
            <w:tcBorders>
              <w:top w:val="nil"/>
              <w:left w:val="nil"/>
              <w:bottom w:val="single" w:color="auto" w:sz="4" w:space="0"/>
              <w:right w:val="single" w:color="auto" w:sz="4" w:space="0"/>
            </w:tcBorders>
            <w:noWrap w:val="0"/>
            <w:vAlign w:val="center"/>
          </w:tcPr>
          <w:p>
            <w:pPr>
              <w:widowControl/>
              <w:spacing w:line="280" w:lineRule="exact"/>
              <w:jc w:val="left"/>
              <w:rPr>
                <w:rFonts w:eastAsia="仿宋_GB2312"/>
                <w:kern w:val="0"/>
                <w:sz w:val="24"/>
                <w:szCs w:val="24"/>
              </w:rPr>
            </w:pPr>
            <w:r>
              <w:rPr>
                <w:rFonts w:hint="eastAsia" w:eastAsia="仿宋_GB2312"/>
                <w:kern w:val="0"/>
                <w:sz w:val="24"/>
                <w:szCs w:val="24"/>
              </w:rPr>
              <w:t>　6</w:t>
            </w:r>
          </w:p>
        </w:tc>
        <w:tc>
          <w:tcPr>
            <w:tcW w:w="1270" w:type="dxa"/>
            <w:tcBorders>
              <w:top w:val="nil"/>
              <w:left w:val="nil"/>
              <w:bottom w:val="single" w:color="auto" w:sz="4" w:space="0"/>
              <w:right w:val="single" w:color="auto" w:sz="4" w:space="0"/>
            </w:tcBorders>
            <w:noWrap w:val="0"/>
            <w:vAlign w:val="top"/>
          </w:tcPr>
          <w:p>
            <w:pPr>
              <w:widowControl/>
              <w:spacing w:line="280" w:lineRule="exact"/>
              <w:jc w:val="left"/>
              <w:rPr>
                <w:rFonts w:hint="eastAsia" w:eastAsia="仿宋_GB2312"/>
                <w:kern w:val="0"/>
                <w:sz w:val="18"/>
                <w:szCs w:val="18"/>
              </w:rPr>
            </w:pPr>
            <w:r>
              <w:rPr>
                <w:rFonts w:hint="eastAsia" w:eastAsia="仿宋_GB2312"/>
                <w:kern w:val="0"/>
                <w:sz w:val="18"/>
                <w:szCs w:val="18"/>
              </w:rPr>
              <w:t>社会公众和服务对象满意度100%</w:t>
            </w:r>
          </w:p>
        </w:tc>
      </w:tr>
    </w:tbl>
    <w:p>
      <w:pPr>
        <w:autoSpaceDE w:val="0"/>
        <w:spacing w:line="40" w:lineRule="exact"/>
        <w:rPr>
          <w:rFonts w:eastAsia="仿宋_GB2312"/>
          <w:sz w:val="32"/>
          <w:szCs w:val="32"/>
        </w:rPr>
      </w:pPr>
      <w:r>
        <w:rPr>
          <w:rFonts w:eastAsia="仿宋_GB2312"/>
          <w:sz w:val="32"/>
          <w:szCs w:val="32"/>
        </w:rP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0171E"/>
    <w:rsid w:val="13F0171E"/>
    <w:rsid w:val="13F81B57"/>
    <w:rsid w:val="6B4F1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2021-05-25T03:41:00Z</dcterms:created>
  <dc:creator>Administrator</dc:creator>
  <cp:lastModifiedBy>我的世界</cp:lastModifiedBy>
  <dcterms:modified xsi:type="dcterms:W3CDTF">2021-05-25T03:25:09Z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