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_GB2312"/>
        </w:rPr>
      </w:pPr>
      <w:bookmarkStart w:id="0" w:name="_GoBack"/>
      <w:bookmarkEnd w:id="0"/>
      <w:r>
        <w:rPr>
          <w:rFonts w:hint="eastAsia" w:ascii="Times New Roman" w:hAnsi="Times New Roman" w:eastAsia="楷体_GB2312"/>
        </w:rPr>
        <w:t>附件3</w:t>
      </w:r>
    </w:p>
    <w:p>
      <w:pPr>
        <w:widowControl/>
        <w:spacing w:line="240" w:lineRule="auto"/>
        <w:jc w:val="both"/>
        <w:rPr>
          <w:rFonts w:ascii="Times New Roman" w:hAnsi="Times New Roman" w:eastAsia="方正小标宋简体"/>
          <w:kern w:val="0"/>
          <w:sz w:val="44"/>
          <w:szCs w:val="44"/>
        </w:rPr>
      </w:pPr>
      <w:r>
        <w:rPr>
          <w:rFonts w:hint="eastAsia" w:ascii="Times New Roman" w:hAnsi="Times New Roman" w:eastAsia="方正小标宋简体"/>
          <w:kern w:val="0"/>
          <w:sz w:val="44"/>
          <w:szCs w:val="44"/>
          <w:u w:val="single"/>
          <w:lang w:eastAsia="zh-CN"/>
        </w:rPr>
        <w:t>区工商联</w:t>
      </w:r>
      <w:r>
        <w:rPr>
          <w:rFonts w:hint="eastAsia" w:ascii="Times New Roman" w:hAnsi="Times New Roman" w:eastAsia="方正小标宋简体"/>
          <w:kern w:val="0"/>
          <w:sz w:val="44"/>
          <w:szCs w:val="44"/>
        </w:rPr>
        <w:t>部门整体支出绩效评价基础数据表</w:t>
      </w:r>
    </w:p>
    <w:p>
      <w:pPr>
        <w:widowControl/>
        <w:tabs>
          <w:tab w:val="left" w:pos="3611"/>
          <w:tab w:val="left" w:pos="4791"/>
          <w:tab w:val="left" w:pos="5951"/>
          <w:tab w:val="left" w:pos="7071"/>
          <w:tab w:val="left" w:pos="8191"/>
          <w:tab w:val="left" w:pos="9311"/>
        </w:tabs>
        <w:spacing w:line="240" w:lineRule="auto"/>
        <w:jc w:val="left"/>
        <w:rPr>
          <w:rFonts w:hint="eastAsia" w:hAnsi="Times New Roman"/>
          <w:kern w:val="0"/>
          <w:sz w:val="24"/>
          <w:szCs w:val="24"/>
        </w:rPr>
      </w:pP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r>
        <w:rPr>
          <w:rFonts w:hint="eastAsia" w:hAnsi="Times New Roman"/>
          <w:kern w:val="0"/>
          <w:sz w:val="24"/>
          <w:szCs w:val="24"/>
        </w:rPr>
        <w:t>填报单位：</w:t>
      </w:r>
      <w:r>
        <w:rPr>
          <w:rFonts w:hint="eastAsia" w:hAnsi="Times New Roman"/>
          <w:kern w:val="0"/>
          <w:sz w:val="24"/>
          <w:szCs w:val="24"/>
          <w:lang w:eastAsia="zh-CN"/>
        </w:rPr>
        <w:t>长沙市望城区工商业联合会</w:t>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p>
    <w:tbl>
      <w:tblPr>
        <w:tblStyle w:val="12"/>
        <w:tblW w:w="9933" w:type="dxa"/>
        <w:jc w:val="center"/>
        <w:tblInd w:w="0" w:type="dxa"/>
        <w:tblLayout w:type="fixed"/>
        <w:tblCellMar>
          <w:top w:w="0" w:type="dxa"/>
          <w:left w:w="108" w:type="dxa"/>
          <w:bottom w:w="0" w:type="dxa"/>
          <w:right w:w="108" w:type="dxa"/>
        </w:tblCellMar>
      </w:tblPr>
      <w:tblGrid>
        <w:gridCol w:w="3499"/>
        <w:gridCol w:w="941"/>
        <w:gridCol w:w="942"/>
        <w:gridCol w:w="993"/>
        <w:gridCol w:w="1223"/>
        <w:gridCol w:w="1193"/>
        <w:gridCol w:w="1142"/>
      </w:tblGrid>
      <w:tr>
        <w:tblPrEx>
          <w:tblLayout w:type="fixed"/>
          <w:tblCellMar>
            <w:top w:w="0" w:type="dxa"/>
            <w:left w:w="108" w:type="dxa"/>
            <w:bottom w:w="0" w:type="dxa"/>
            <w:right w:w="108" w:type="dxa"/>
          </w:tblCellMar>
        </w:tblPrEx>
        <w:trPr>
          <w:trHeight w:val="525" w:hRule="atLeast"/>
          <w:jc w:val="center"/>
        </w:trPr>
        <w:tc>
          <w:tcPr>
            <w:tcW w:w="34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财政供养人员情况</w:t>
            </w:r>
          </w:p>
        </w:tc>
        <w:tc>
          <w:tcPr>
            <w:tcW w:w="188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编制数</w:t>
            </w:r>
          </w:p>
        </w:tc>
        <w:tc>
          <w:tcPr>
            <w:tcW w:w="221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w:t>
            </w:r>
            <w:r>
              <w:rPr>
                <w:rFonts w:hint="eastAsia" w:ascii="Times New Roman" w:hAnsi="Times New Roman"/>
                <w:bCs/>
                <w:kern w:val="0"/>
                <w:sz w:val="24"/>
                <w:szCs w:val="24"/>
              </w:rPr>
              <w:t>18年实际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在职人数</w:t>
            </w:r>
          </w:p>
        </w:tc>
        <w:tc>
          <w:tcPr>
            <w:tcW w:w="23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r>
      <w:tr>
        <w:tblPrEx>
          <w:tblLayout w:type="fixed"/>
          <w:tblCellMar>
            <w:top w:w="0" w:type="dxa"/>
            <w:left w:w="108" w:type="dxa"/>
            <w:bottom w:w="0" w:type="dxa"/>
            <w:right w:w="108" w:type="dxa"/>
          </w:tblCellMar>
        </w:tblPrEx>
        <w:trPr>
          <w:trHeight w:val="525" w:hRule="atLeast"/>
          <w:jc w:val="center"/>
        </w:trPr>
        <w:tc>
          <w:tcPr>
            <w:tcW w:w="34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188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221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5</w:t>
            </w:r>
          </w:p>
        </w:tc>
        <w:tc>
          <w:tcPr>
            <w:tcW w:w="23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经费控制情况</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7年决算数</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8年预算数</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8年决算数</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三公经费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、公务用车购置和维护经费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hAnsi="仿宋_GB2312" w:cs="仿宋_GB2312"/>
                <w:kern w:val="0"/>
                <w:sz w:val="24"/>
                <w:szCs w:val="24"/>
                <w:lang w:val="en-US" w:eastAsia="zh-CN"/>
              </w:rPr>
              <w:t>0</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hAnsi="仿宋_GB2312" w:cs="仿宋_GB2312"/>
                <w:kern w:val="0"/>
                <w:sz w:val="24"/>
                <w:szCs w:val="24"/>
                <w:lang w:val="en-US" w:eastAsia="zh-CN"/>
              </w:rPr>
              <w:t>0</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hAnsi="仿宋_GB2312" w:cs="仿宋_GB2312"/>
                <w:kern w:val="0"/>
                <w:sz w:val="24"/>
                <w:szCs w:val="24"/>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其中：公车购置</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公车运行维护</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、出国经费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hAnsi="仿宋_GB2312" w:cs="仿宋_GB2312"/>
                <w:kern w:val="0"/>
                <w:sz w:val="24"/>
                <w:szCs w:val="24"/>
                <w:lang w:val="en-US" w:eastAsia="zh-CN"/>
              </w:rPr>
              <w:t>0</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hAnsi="仿宋_GB2312" w:cs="仿宋_GB2312"/>
                <w:kern w:val="0"/>
                <w:sz w:val="24"/>
                <w:szCs w:val="24"/>
                <w:lang w:val="en-US" w:eastAsia="zh-CN"/>
              </w:rPr>
              <w:t>0</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1.4</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3</w:t>
            </w:r>
            <w:r>
              <w:rPr>
                <w:rFonts w:hint="eastAsia" w:ascii="Times New Roman" w:hAnsi="Times New Roman"/>
                <w:kern w:val="0"/>
                <w:sz w:val="24"/>
                <w:szCs w:val="24"/>
              </w:rPr>
              <w:t>、公务接待</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1.2</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3.5</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1.51</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项目支出：</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、业务工作专项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80.98</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135</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95.8</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、运行维护专项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公用经费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其中：办公经费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6.3</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18.8</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9.44</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水费、电费、差旅费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0.57</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会议费、培训费</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1.73</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26</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23.03</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政府采购金额</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349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部门整体支出预算调整</w:t>
            </w:r>
            <w:r>
              <w:rPr>
                <w:rFonts w:ascii="Times New Roman" w:hAnsi="Times New Roman"/>
                <w:kern w:val="0"/>
                <w:sz w:val="24"/>
                <w:szCs w:val="24"/>
              </w:rPr>
              <w:t xml:space="preserve"> </w:t>
            </w:r>
          </w:p>
        </w:tc>
        <w:tc>
          <w:tcPr>
            <w:tcW w:w="1883"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1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3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856" w:hRule="atLeast"/>
          <w:jc w:val="center"/>
        </w:trPr>
        <w:tc>
          <w:tcPr>
            <w:tcW w:w="3499"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楼堂馆所控制情况</w:t>
            </w:r>
          </w:p>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201</w:t>
            </w:r>
            <w:r>
              <w:rPr>
                <w:rFonts w:hint="eastAsia" w:ascii="Times New Roman" w:hAnsi="Times New Roman"/>
                <w:kern w:val="0"/>
                <w:sz w:val="24"/>
                <w:szCs w:val="24"/>
              </w:rPr>
              <w:t>8年完工项目）</w:t>
            </w:r>
          </w:p>
        </w:tc>
        <w:tc>
          <w:tcPr>
            <w:tcW w:w="94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批复</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4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9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w:t>
            </w:r>
            <w:r>
              <w:rPr>
                <w:rFonts w:ascii="Times New Roman" w:hAnsi="Times New Roman"/>
                <w:bCs/>
                <w:kern w:val="0"/>
                <w:sz w:val="24"/>
                <w:szCs w:val="24"/>
              </w:rPr>
              <w:t xml:space="preserve">  </w:t>
            </w:r>
            <w:r>
              <w:rPr>
                <w:rFonts w:hint="eastAsia" w:ascii="Times New Roman" w:hAnsi="Times New Roman"/>
                <w:bCs/>
                <w:kern w:val="0"/>
                <w:sz w:val="24"/>
                <w:szCs w:val="24"/>
              </w:rPr>
              <w:t>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c>
          <w:tcPr>
            <w:tcW w:w="122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预算投资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4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spacing w:val="-6"/>
                <w:kern w:val="0"/>
                <w:sz w:val="24"/>
                <w:szCs w:val="24"/>
              </w:rPr>
            </w:pPr>
            <w:r>
              <w:rPr>
                <w:rFonts w:hint="eastAsia" w:ascii="Times New Roman" w:hAnsi="Times New Roman"/>
                <w:bCs/>
                <w:spacing w:val="-6"/>
                <w:kern w:val="0"/>
                <w:sz w:val="24"/>
                <w:szCs w:val="24"/>
              </w:rPr>
              <w:t>投资概算控制率</w:t>
            </w:r>
          </w:p>
        </w:tc>
      </w:tr>
      <w:tr>
        <w:tblPrEx>
          <w:tblLayout w:type="fixed"/>
          <w:tblCellMar>
            <w:top w:w="0" w:type="dxa"/>
            <w:left w:w="108" w:type="dxa"/>
            <w:bottom w:w="0" w:type="dxa"/>
            <w:right w:w="108" w:type="dxa"/>
          </w:tblCellMar>
        </w:tblPrEx>
        <w:trPr>
          <w:trHeight w:val="528" w:hRule="atLeast"/>
          <w:jc w:val="center"/>
        </w:trPr>
        <w:tc>
          <w:tcPr>
            <w:tcW w:w="349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94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p>
        </w:tc>
        <w:tc>
          <w:tcPr>
            <w:tcW w:w="942"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p>
        </w:tc>
        <w:tc>
          <w:tcPr>
            <w:tcW w:w="99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w:t>
            </w:r>
          </w:p>
        </w:tc>
        <w:tc>
          <w:tcPr>
            <w:tcW w:w="122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w:t>
            </w:r>
          </w:p>
        </w:tc>
        <w:tc>
          <w:tcPr>
            <w:tcW w:w="119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w:t>
            </w:r>
          </w:p>
        </w:tc>
        <w:tc>
          <w:tcPr>
            <w:tcW w:w="114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2785" w:hRule="atLeast"/>
          <w:jc w:val="center"/>
        </w:trPr>
        <w:tc>
          <w:tcPr>
            <w:tcW w:w="34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厉行节约保障措施</w:t>
            </w:r>
          </w:p>
        </w:tc>
        <w:tc>
          <w:tcPr>
            <w:tcW w:w="6434" w:type="dxa"/>
            <w:gridSpan w:val="6"/>
            <w:tcBorders>
              <w:top w:val="single" w:color="auto" w:sz="4" w:space="0"/>
              <w:left w:val="nil"/>
              <w:bottom w:val="single" w:color="auto" w:sz="4" w:space="0"/>
              <w:right w:val="single" w:color="auto" w:sz="4" w:space="0"/>
            </w:tcBorders>
            <w:vAlign w:val="center"/>
          </w:tcPr>
          <w:p>
            <w:pPr>
              <w:pStyle w:val="3"/>
              <w:keepNext w:val="0"/>
              <w:keepLines w:val="0"/>
              <w:widowControl/>
              <w:suppressLineNumbers w:val="0"/>
              <w:rPr>
                <w:rFonts w:hint="eastAsia" w:eastAsia="宋体"/>
                <w:lang w:eastAsia="zh-CN"/>
              </w:rPr>
            </w:pPr>
            <w:r>
              <w:rPr>
                <w:rFonts w:hint="eastAsia" w:ascii="仿宋_GB2312" w:hAnsi="仿宋_GB2312" w:eastAsia="仿宋_GB2312" w:cs="仿宋_GB2312"/>
                <w:kern w:val="0"/>
                <w:sz w:val="24"/>
                <w:szCs w:val="24"/>
                <w:lang w:val="en-US" w:eastAsia="zh-CN" w:bidi="ar-SA"/>
              </w:rPr>
              <w:t>加强支出预算编制管理，提高部门综合定额标准，大力压缩专项业务费预算申请额度，重点是专项业务费列支的“三公”经费等支出，达到“零增长”或“负增长”目标。</w:t>
            </w:r>
            <w:r>
              <w:rPr>
                <w:rFonts w:hint="eastAsia" w:ascii="仿宋_GB2312" w:hAnsi="仿宋_GB2312" w:eastAsia="仿宋_GB2312" w:cs="仿宋_GB2312"/>
                <w:sz w:val="24"/>
                <w:szCs w:val="24"/>
              </w:rPr>
              <w:t>加强国内差旅费和因公出国（境）经费审批管理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稳妥推进政府集中采购服务。</w:t>
            </w:r>
          </w:p>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700" w:hRule="atLeast"/>
          <w:jc w:val="center"/>
        </w:trPr>
        <w:tc>
          <w:tcPr>
            <w:tcW w:w="9933" w:type="dxa"/>
            <w:gridSpan w:val="7"/>
            <w:tcBorders>
              <w:top w:val="single" w:color="auto" w:sz="4" w:space="0"/>
              <w:left w:val="nil"/>
              <w:bottom w:val="nil"/>
              <w:right w:val="nil"/>
            </w:tcBorders>
            <w:vAlign w:val="center"/>
          </w:tcPr>
          <w:p>
            <w:pPr>
              <w:widowControl/>
              <w:spacing w:line="340" w:lineRule="exact"/>
              <w:jc w:val="left"/>
              <w:rPr>
                <w:rFonts w:ascii="Times New Roman" w:hAnsi="Times New Roman"/>
                <w:kern w:val="0"/>
                <w:sz w:val="22"/>
                <w:szCs w:val="24"/>
              </w:rPr>
            </w:pPr>
            <w:r>
              <w:rPr>
                <w:rFonts w:hint="eastAsia" w:ascii="Times New Roman" w:hAnsi="Times New Roman"/>
                <w:kern w:val="0"/>
                <w:sz w:val="22"/>
                <w:szCs w:val="24"/>
              </w:rPr>
              <w:t>说明：</w:t>
            </w:r>
            <w:r>
              <w:rPr>
                <w:rFonts w:ascii="Times New Roman" w:hAnsi="Times New Roman"/>
                <w:kern w:val="0"/>
                <w:sz w:val="22"/>
                <w:szCs w:val="24"/>
              </w:rPr>
              <w:t>“</w:t>
            </w:r>
            <w:r>
              <w:rPr>
                <w:rFonts w:hint="eastAsia" w:ascii="Times New Roman" w:hAnsi="Times New Roman"/>
                <w:kern w:val="0"/>
                <w:sz w:val="22"/>
                <w:szCs w:val="24"/>
              </w:rPr>
              <w:t>项目支出</w:t>
            </w:r>
            <w:r>
              <w:rPr>
                <w:rFonts w:ascii="Times New Roman" w:hAnsi="Times New Roman"/>
                <w:kern w:val="0"/>
                <w:sz w:val="22"/>
                <w:szCs w:val="24"/>
              </w:rPr>
              <w:t>”</w:t>
            </w:r>
            <w:r>
              <w:rPr>
                <w:rFonts w:hint="eastAsia" w:ascii="Times New Roman" w:hAnsi="Times New Roman"/>
                <w:kern w:val="0"/>
                <w:sz w:val="22"/>
                <w:szCs w:val="24"/>
              </w:rPr>
              <w:t>需要填报除专项资金和基本支出以外的所有项目情况，包括业务工作项目、运行维护项目等；</w:t>
            </w:r>
            <w:r>
              <w:rPr>
                <w:rFonts w:ascii="Times New Roman" w:hAnsi="Times New Roman"/>
                <w:kern w:val="0"/>
                <w:sz w:val="22"/>
                <w:szCs w:val="24"/>
              </w:rPr>
              <w:t>“</w:t>
            </w:r>
            <w:r>
              <w:rPr>
                <w:rFonts w:hint="eastAsia" w:ascii="Times New Roman" w:hAnsi="Times New Roman"/>
                <w:kern w:val="0"/>
                <w:sz w:val="22"/>
                <w:szCs w:val="24"/>
              </w:rPr>
              <w:t>公用经费</w:t>
            </w:r>
            <w:r>
              <w:rPr>
                <w:rFonts w:ascii="Times New Roman" w:hAnsi="Times New Roman"/>
                <w:kern w:val="0"/>
                <w:sz w:val="22"/>
                <w:szCs w:val="24"/>
              </w:rPr>
              <w:t>”</w:t>
            </w:r>
            <w:r>
              <w:rPr>
                <w:rFonts w:hint="eastAsia" w:ascii="Times New Roman" w:hAnsi="Times New Roman"/>
                <w:kern w:val="0"/>
                <w:sz w:val="22"/>
                <w:szCs w:val="24"/>
              </w:rPr>
              <w:t>填报基本支出中的一般商品和服务支出。</w:t>
            </w:r>
          </w:p>
        </w:tc>
      </w:tr>
    </w:tbl>
    <w:p>
      <w:pPr>
        <w:rPr>
          <w:rFonts w:ascii="Times New Roman" w:hAnsi="Times New Roman"/>
        </w:rPr>
      </w:pPr>
    </w:p>
    <w:p>
      <w:pPr>
        <w:spacing w:line="600" w:lineRule="exact"/>
        <w:rPr>
          <w:rFonts w:ascii="Times New Roman" w:hAnsi="Times New Roman" w:eastAsia="楷体_GB2312"/>
        </w:rPr>
        <w:sectPr>
          <w:footerReference r:id="rId5" w:type="first"/>
          <w:footerReference r:id="rId3" w:type="default"/>
          <w:footerReference r:id="rId4" w:type="even"/>
          <w:pgSz w:w="11906" w:h="16838"/>
          <w:pgMar w:top="1701" w:right="1587" w:bottom="1417" w:left="1701" w:header="851" w:footer="992" w:gutter="0"/>
          <w:pgNumType w:fmt="numberInDash"/>
          <w:cols w:space="720" w:num="1"/>
          <w:docGrid w:type="lines" w:linePitch="312" w:charSpace="0"/>
        </w:sectPr>
      </w:pPr>
    </w:p>
    <w:p>
      <w:pPr>
        <w:spacing w:line="600" w:lineRule="exact"/>
        <w:rPr>
          <w:rFonts w:ascii="Times New Roman" w:hAnsi="Times New Roman" w:eastAsia="楷体_GB2312"/>
        </w:rPr>
      </w:pPr>
      <w:r>
        <w:rPr>
          <w:rFonts w:hint="eastAsia" w:ascii="Times New Roman" w:hAnsi="Times New Roman" w:eastAsia="楷体_GB2312"/>
        </w:rPr>
        <w:t>附件4</w:t>
      </w:r>
    </w:p>
    <w:p>
      <w:pPr>
        <w:widowControl/>
        <w:spacing w:line="240" w:lineRule="auto"/>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u w:val="single"/>
          <w:lang w:eastAsia="zh-CN"/>
        </w:rPr>
        <w:t>区工商联</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rPr>
        <w:t>部门整体支出绩效评价自评表</w:t>
      </w:r>
    </w:p>
    <w:tbl>
      <w:tblPr>
        <w:tblStyle w:val="12"/>
        <w:tblW w:w="10392"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637"/>
      </w:tblGrid>
      <w:tr>
        <w:tblPrEx>
          <w:tblLayout w:type="fixed"/>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637"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4</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p>
        </w:tc>
        <w:tc>
          <w:tcPr>
            <w:tcW w:w="637"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4</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2"/>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2"/>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2"/>
        </w:pPr>
        <w:r>
          <w:fldChar w:fldCharType="begin"/>
        </w:r>
        <w:r>
          <w:instrText xml:space="preserve">PAGE   \* MERGEFORMAT</w:instrText>
        </w:r>
        <w:r>
          <w:fldChar w:fldCharType="separate"/>
        </w:r>
        <w:r>
          <w:rPr>
            <w:lang w:val="zh-CN"/>
          </w:rPr>
          <w:t>-</w:t>
        </w:r>
        <w:r>
          <w:t xml:space="preserve"> 14 -</w:t>
        </w:r>
        <w: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rFonts w:hint="eastAsia"/>
      </w:rPr>
      <w:t>15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A47FE"/>
    <w:rsid w:val="1B5B7BA7"/>
    <w:rsid w:val="210C4918"/>
    <w:rsid w:val="34CA47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6E6E6E"/>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6E6E6E"/>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3">
    <w:name w:val="bds_nopic"/>
    <w:basedOn w:val="4"/>
    <w:qFormat/>
    <w:uiPriority w:val="0"/>
  </w:style>
  <w:style w:type="character" w:customStyle="1" w:styleId="14">
    <w:name w:val="bds_more"/>
    <w:basedOn w:val="4"/>
    <w:qFormat/>
    <w:uiPriority w:val="0"/>
    <w:rPr>
      <w:rFonts w:hint="eastAsia" w:ascii="宋体" w:hAnsi="宋体" w:eastAsia="宋体" w:cs="宋体"/>
    </w:rPr>
  </w:style>
  <w:style w:type="character" w:customStyle="1" w:styleId="15">
    <w:name w:val="bds_more1"/>
    <w:basedOn w:val="4"/>
    <w:qFormat/>
    <w:uiPriority w:val="0"/>
  </w:style>
  <w:style w:type="character" w:customStyle="1" w:styleId="16">
    <w:name w:val="bds_more2"/>
    <w:basedOn w:val="4"/>
    <w:qFormat/>
    <w:uiPriority w:val="0"/>
  </w:style>
  <w:style w:type="character" w:customStyle="1" w:styleId="17">
    <w:name w:val="bds_more3"/>
    <w:basedOn w:val="4"/>
    <w:qFormat/>
    <w:uiPriority w:val="0"/>
    <w:rPr>
      <w:rFonts w:hint="eastAsia" w:ascii="宋体" w:hAnsi="宋体" w:eastAsia="宋体" w:cs="宋体"/>
    </w:rPr>
  </w:style>
  <w:style w:type="character" w:customStyle="1" w:styleId="18">
    <w:name w:val="bds_more4"/>
    <w:basedOn w:val="4"/>
    <w:qFormat/>
    <w:uiPriority w:val="0"/>
  </w:style>
  <w:style w:type="character" w:customStyle="1" w:styleId="19">
    <w:name w:val="bds_nopic1"/>
    <w:basedOn w:val="4"/>
    <w:qFormat/>
    <w:uiPriority w:val="0"/>
  </w:style>
  <w:style w:type="character" w:customStyle="1" w:styleId="20">
    <w:name w:val="bds_nopic2"/>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2019-04-22T02:08:00Z</dcterms:created>
  <dc:creator>Dayu理见</dc:creator>
  <cp:lastModifiedBy>Administrator</cp:lastModifiedBy>
  <dcterms:modified xsi:type="dcterms:W3CDTF">2021-05-22T04:56:30Z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