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default" w:ascii="Times New Roman" w:hAnsi="Times New Roman" w:eastAsia="方正小标宋简体" w:cs="Times New Roman"/>
          <w:sz w:val="36"/>
          <w:szCs w:val="36"/>
        </w:rPr>
      </w:pPr>
      <w:bookmarkStart w:id="0" w:name="_GoBack"/>
      <w:r>
        <w:rPr>
          <w:rFonts w:hint="eastAsia" w:ascii="方正小标宋简体" w:hAnsi="方正小标宋简体" w:eastAsia="方正小标宋简体" w:cs="方正小标宋简体"/>
          <w:sz w:val="36"/>
          <w:szCs w:val="36"/>
          <w:lang w:val="en-US" w:eastAsia="zh-CN"/>
        </w:rPr>
        <w:t>2019</w:t>
      </w:r>
      <w:r>
        <w:rPr>
          <w:rFonts w:hint="eastAsia" w:ascii="方正小标宋简体" w:hAnsi="方正小标宋简体" w:eastAsia="方正小标宋简体" w:cs="方正小标宋简体"/>
          <w:sz w:val="36"/>
          <w:szCs w:val="36"/>
        </w:rPr>
        <w:t>年度</w:t>
      </w:r>
      <w:r>
        <w:rPr>
          <w:rFonts w:hint="eastAsia" w:ascii="方正小标宋简体" w:hAnsi="方正小标宋简体" w:eastAsia="方正小标宋简体" w:cs="方正小标宋简体"/>
          <w:sz w:val="36"/>
          <w:szCs w:val="36"/>
          <w:lang w:eastAsia="zh-CN"/>
        </w:rPr>
        <w:t>团区委</w:t>
      </w:r>
      <w:r>
        <w:rPr>
          <w:rFonts w:hint="eastAsia" w:ascii="方正小标宋简体" w:hAnsi="方正小标宋简体" w:eastAsia="方正小标宋简体" w:cs="方正小标宋简体"/>
          <w:sz w:val="36"/>
          <w:szCs w:val="36"/>
        </w:rPr>
        <w:t>部门整体支出预算绩效</w:t>
      </w:r>
      <w:r>
        <w:rPr>
          <w:rFonts w:hint="default" w:ascii="Times New Roman" w:hAnsi="Times New Roman" w:eastAsia="方正小标宋简体" w:cs="Times New Roman"/>
          <w:sz w:val="36"/>
          <w:szCs w:val="36"/>
        </w:rPr>
        <w:t>自评报告</w:t>
      </w:r>
    </w:p>
    <w:bookmarkEnd w:id="0"/>
    <w:p>
      <w:pPr>
        <w:spacing w:line="600" w:lineRule="exact"/>
        <w:jc w:val="center"/>
        <w:rPr>
          <w:rFonts w:hint="default" w:ascii="Times New Roman" w:hAnsi="Times New Roman" w:eastAsia="仿宋_GB2312" w:cs="Times New Roman"/>
          <w:sz w:val="32"/>
          <w:szCs w:val="32"/>
        </w:rPr>
      </w:pPr>
    </w:p>
    <w:p>
      <w:pPr>
        <w:numPr>
          <w:ilvl w:val="0"/>
          <w:numId w:val="1"/>
        </w:numPr>
        <w:spacing w:line="600" w:lineRule="exact"/>
        <w:ind w:firstLine="600" w:firstLineChars="200"/>
        <w:rPr>
          <w:rFonts w:hint="default" w:ascii="Times New Roman" w:hAnsi="Times New Roman" w:eastAsia="黑体" w:cs="Times New Roman"/>
          <w:sz w:val="30"/>
        </w:rPr>
      </w:pPr>
      <w:r>
        <w:rPr>
          <w:rFonts w:hint="default" w:ascii="Times New Roman" w:hAnsi="Times New Roman" w:eastAsia="黑体" w:cs="Times New Roman"/>
          <w:sz w:val="30"/>
        </w:rPr>
        <w:t>部门（单位）基本情况</w:t>
      </w:r>
    </w:p>
    <w:p>
      <w:pPr>
        <w:adjustRightInd/>
        <w:snapToGrid/>
        <w:spacing w:after="0" w:line="600" w:lineRule="atLeast"/>
        <w:ind w:firstLine="627"/>
        <w:rPr>
          <w:rFonts w:hint="eastAsia" w:ascii="仿宋_GB2312" w:hAnsi="微软雅黑" w:eastAsia="仿宋_GB2312" w:cs="宋体"/>
          <w:color w:val="262626"/>
          <w:sz w:val="32"/>
          <w:szCs w:val="32"/>
        </w:rPr>
      </w:pPr>
      <w:r>
        <w:rPr>
          <w:rFonts w:hint="eastAsia" w:ascii="仿宋_GB2312" w:hAnsi="微软雅黑" w:eastAsia="仿宋_GB2312" w:cs="宋体"/>
          <w:color w:val="262626"/>
          <w:sz w:val="32"/>
          <w:szCs w:val="32"/>
        </w:rPr>
        <w:t>共青团长沙市望城区委员会系区委领导下的先进青年的群众组织，为参照公务员管理单位。现有在职在编干部</w:t>
      </w:r>
      <w:r>
        <w:rPr>
          <w:rFonts w:hint="eastAsia" w:ascii="仿宋_GB2312" w:hAnsi="微软雅黑" w:eastAsia="仿宋_GB2312" w:cs="宋体"/>
          <w:color w:val="262626"/>
          <w:sz w:val="32"/>
          <w:szCs w:val="32"/>
          <w:lang w:val="en-US" w:eastAsia="zh-CN"/>
        </w:rPr>
        <w:t>5</w:t>
      </w:r>
      <w:r>
        <w:rPr>
          <w:rFonts w:hint="eastAsia" w:ascii="仿宋_GB2312" w:hAnsi="微软雅黑" w:eastAsia="仿宋_GB2312" w:cs="宋体"/>
          <w:color w:val="262626"/>
          <w:sz w:val="32"/>
          <w:szCs w:val="32"/>
        </w:rPr>
        <w:t>名，其中，正科级1人，副科级2人，机关人员</w:t>
      </w:r>
      <w:r>
        <w:rPr>
          <w:rFonts w:hint="eastAsia" w:ascii="仿宋_GB2312" w:hAnsi="微软雅黑" w:eastAsia="仿宋_GB2312" w:cs="宋体"/>
          <w:color w:val="262626"/>
          <w:sz w:val="32"/>
          <w:szCs w:val="32"/>
          <w:lang w:val="en-US" w:eastAsia="zh-CN"/>
        </w:rPr>
        <w:t>2</w:t>
      </w:r>
      <w:r>
        <w:rPr>
          <w:rFonts w:hint="eastAsia" w:ascii="仿宋_GB2312" w:hAnsi="微软雅黑" w:eastAsia="仿宋_GB2312" w:cs="宋体"/>
          <w:color w:val="262626"/>
          <w:sz w:val="32"/>
          <w:szCs w:val="32"/>
        </w:rPr>
        <w:t>名；另有挂职副书记1名，临聘人员</w:t>
      </w:r>
      <w:r>
        <w:rPr>
          <w:rFonts w:hint="eastAsia" w:ascii="仿宋_GB2312" w:hAnsi="微软雅黑" w:eastAsia="仿宋_GB2312" w:cs="宋体"/>
          <w:color w:val="262626"/>
          <w:sz w:val="32"/>
          <w:szCs w:val="32"/>
          <w:lang w:val="en-US" w:eastAsia="zh-CN"/>
        </w:rPr>
        <w:t>2</w:t>
      </w:r>
      <w:r>
        <w:rPr>
          <w:rFonts w:hint="eastAsia" w:ascii="仿宋_GB2312" w:hAnsi="微软雅黑" w:eastAsia="仿宋_GB2312" w:cs="宋体"/>
          <w:color w:val="262626"/>
          <w:sz w:val="32"/>
          <w:szCs w:val="32"/>
        </w:rPr>
        <w:t>名。</w:t>
      </w:r>
    </w:p>
    <w:p>
      <w:pPr>
        <w:widowControl/>
        <w:numPr>
          <w:ilvl w:val="0"/>
          <w:numId w:val="0"/>
        </w:numPr>
        <w:spacing w:line="600" w:lineRule="exact"/>
        <w:ind w:firstLine="640" w:firstLineChars="200"/>
        <w:jc w:val="left"/>
        <w:rPr>
          <w:rFonts w:eastAsia="仿宋_GB2312"/>
          <w:sz w:val="32"/>
          <w:szCs w:val="32"/>
        </w:rPr>
      </w:pPr>
      <w:r>
        <w:rPr>
          <w:rFonts w:hint="eastAsia" w:eastAsia="仿宋_GB2312"/>
          <w:sz w:val="32"/>
          <w:szCs w:val="32"/>
          <w:lang w:eastAsia="zh-CN"/>
        </w:rPr>
        <w:t>（一）</w:t>
      </w:r>
      <w:r>
        <w:rPr>
          <w:rFonts w:eastAsia="仿宋_GB2312"/>
          <w:sz w:val="32"/>
          <w:szCs w:val="32"/>
        </w:rPr>
        <w:t>职能职责</w:t>
      </w:r>
    </w:p>
    <w:p>
      <w:pPr>
        <w:adjustRightInd/>
        <w:snapToGrid/>
        <w:spacing w:after="0" w:line="600" w:lineRule="atLeast"/>
        <w:ind w:firstLine="640"/>
        <w:rPr>
          <w:rFonts w:hint="eastAsia" w:ascii="微软雅黑" w:hAnsi="微软雅黑" w:cs="宋体"/>
          <w:color w:val="262626"/>
          <w:sz w:val="24"/>
          <w:szCs w:val="24"/>
        </w:rPr>
      </w:pPr>
      <w:r>
        <w:rPr>
          <w:rFonts w:hint="eastAsia" w:ascii="仿宋_GB2312" w:hAnsi="微软雅黑" w:eastAsia="仿宋_GB2312" w:cs="宋体"/>
          <w:color w:val="262626"/>
          <w:sz w:val="32"/>
          <w:szCs w:val="32"/>
        </w:rPr>
        <w:t>1、领导全区共青团工作，组织全区各级共青团组织围绕全区改革、发展、稳定的大局开展工作，在区内政治、经济、文化等活动中发挥党的助手和生力军作用。</w:t>
      </w:r>
    </w:p>
    <w:p>
      <w:pPr>
        <w:adjustRightInd/>
        <w:snapToGrid/>
        <w:spacing w:after="0" w:line="600" w:lineRule="atLeast"/>
        <w:ind w:firstLine="640"/>
        <w:rPr>
          <w:rFonts w:hint="eastAsia" w:ascii="仿宋_GB2312" w:hAnsi="微软雅黑" w:eastAsia="仿宋_GB2312" w:cs="宋体"/>
          <w:color w:val="262626"/>
          <w:sz w:val="32"/>
          <w:szCs w:val="32"/>
        </w:rPr>
      </w:pPr>
      <w:r>
        <w:rPr>
          <w:rFonts w:hint="eastAsia" w:ascii="仿宋_GB2312" w:hAnsi="微软雅黑" w:eastAsia="仿宋_GB2312" w:cs="宋体"/>
          <w:color w:val="262626"/>
          <w:sz w:val="32"/>
          <w:szCs w:val="32"/>
        </w:rPr>
        <w:t>2、围绕区委、区政府的中心工作，开展各种服务青年的活动；指导全区志愿者工作的开展。</w:t>
      </w:r>
    </w:p>
    <w:p>
      <w:pPr>
        <w:adjustRightInd/>
        <w:snapToGrid/>
        <w:spacing w:after="0" w:line="600" w:lineRule="atLeast"/>
        <w:ind w:firstLine="627"/>
        <w:rPr>
          <w:rFonts w:hint="eastAsia" w:ascii="微软雅黑" w:hAnsi="微软雅黑" w:cs="宋体"/>
          <w:color w:val="262626"/>
          <w:sz w:val="24"/>
          <w:szCs w:val="24"/>
        </w:rPr>
      </w:pPr>
      <w:r>
        <w:rPr>
          <w:rFonts w:hint="eastAsia" w:ascii="仿宋_GB2312" w:hAnsi="微软雅黑" w:eastAsia="仿宋_GB2312" w:cs="宋体"/>
          <w:color w:val="262626"/>
          <w:sz w:val="32"/>
          <w:szCs w:val="32"/>
        </w:rPr>
        <w:t>3、对青少年工作中的重大问题提出建议，参与有关全区性青少年法规的起草、实施、监督等工作；及时进行青少年思想状况调研，并向上级进行反映；推进全区青少年精神文明建设，负责指导并组织实施全区青少年的思想理论教育、宣传、文化活动。</w:t>
      </w:r>
    </w:p>
    <w:p>
      <w:pPr>
        <w:adjustRightInd/>
        <w:snapToGrid/>
        <w:spacing w:after="0" w:line="600" w:lineRule="atLeast"/>
        <w:ind w:firstLine="627"/>
        <w:rPr>
          <w:rFonts w:hint="eastAsia" w:ascii="微软雅黑" w:hAnsi="微软雅黑" w:cs="宋体"/>
          <w:color w:val="262626"/>
          <w:sz w:val="24"/>
          <w:szCs w:val="24"/>
        </w:rPr>
      </w:pPr>
      <w:r>
        <w:rPr>
          <w:rFonts w:hint="eastAsia" w:ascii="仿宋_GB2312" w:hAnsi="微软雅黑" w:eastAsia="仿宋_GB2312" w:cs="宋体"/>
          <w:color w:val="262626"/>
          <w:sz w:val="32"/>
          <w:szCs w:val="32"/>
        </w:rPr>
        <w:t>4、指导少先队工作，维护青少年合法权益，组织实施“希望工程”。</w:t>
      </w:r>
    </w:p>
    <w:p>
      <w:pPr>
        <w:adjustRightInd/>
        <w:snapToGrid/>
        <w:spacing w:after="0" w:line="600" w:lineRule="atLeast"/>
        <w:ind w:firstLine="627"/>
        <w:rPr>
          <w:rFonts w:hint="eastAsia" w:ascii="微软雅黑" w:hAnsi="微软雅黑" w:cs="宋体"/>
          <w:color w:val="262626"/>
          <w:sz w:val="24"/>
          <w:szCs w:val="24"/>
        </w:rPr>
      </w:pPr>
      <w:r>
        <w:rPr>
          <w:rFonts w:hint="eastAsia" w:ascii="仿宋_GB2312" w:hAnsi="微软雅黑" w:eastAsia="仿宋_GB2312" w:cs="宋体"/>
          <w:color w:val="262626"/>
          <w:sz w:val="32"/>
          <w:szCs w:val="32"/>
        </w:rPr>
        <w:t>5、负责全区共青团系统外事工作、青少年对外交流工作。</w:t>
      </w:r>
    </w:p>
    <w:p>
      <w:pPr>
        <w:adjustRightInd/>
        <w:snapToGrid/>
        <w:spacing w:after="0" w:line="600" w:lineRule="atLeast"/>
        <w:ind w:firstLine="627"/>
        <w:rPr>
          <w:rFonts w:eastAsia="仿宋_GB2312"/>
          <w:sz w:val="32"/>
          <w:szCs w:val="32"/>
        </w:rPr>
      </w:pPr>
      <w:r>
        <w:rPr>
          <w:rFonts w:hint="eastAsia" w:ascii="仿宋_GB2312" w:hAnsi="微软雅黑" w:eastAsia="仿宋_GB2312" w:cs="宋体"/>
          <w:color w:val="262626"/>
          <w:sz w:val="32"/>
          <w:szCs w:val="32"/>
        </w:rPr>
        <w:t>6、完成区委、区政府和上级主管部门交办的其他工作。</w:t>
      </w:r>
    </w:p>
    <w:p>
      <w:pPr>
        <w:widowControl/>
        <w:spacing w:line="600" w:lineRule="exact"/>
        <w:ind w:firstLine="627" w:firstLineChars="196"/>
        <w:jc w:val="left"/>
        <w:rPr>
          <w:rFonts w:eastAsia="仿宋_GB2312"/>
          <w:sz w:val="32"/>
          <w:szCs w:val="32"/>
        </w:rPr>
      </w:pPr>
      <w:r>
        <w:rPr>
          <w:rFonts w:hint="eastAsia" w:eastAsia="仿宋_GB2312"/>
          <w:sz w:val="32"/>
          <w:szCs w:val="32"/>
          <w:lang w:eastAsia="zh-CN"/>
        </w:rPr>
        <w:t>（二）</w:t>
      </w:r>
      <w:r>
        <w:rPr>
          <w:rFonts w:eastAsia="仿宋_GB2312"/>
          <w:sz w:val="32"/>
          <w:szCs w:val="32"/>
        </w:rPr>
        <w:t>机构设置</w:t>
      </w:r>
    </w:p>
    <w:p>
      <w:pPr>
        <w:adjustRightInd/>
        <w:snapToGrid/>
        <w:spacing w:after="0" w:line="600" w:lineRule="atLeast"/>
        <w:ind w:firstLine="627"/>
        <w:rPr>
          <w:rFonts w:hint="default" w:ascii="Times New Roman" w:hAnsi="Times New Roman" w:eastAsia="黑体" w:cs="Times New Roman"/>
          <w:sz w:val="30"/>
        </w:rPr>
      </w:pPr>
      <w:r>
        <w:rPr>
          <w:rFonts w:hint="eastAsia" w:ascii="仿宋_GB2312" w:hAnsi="微软雅黑" w:eastAsia="仿宋_GB2312" w:cs="宋体"/>
          <w:color w:val="262626"/>
          <w:sz w:val="32"/>
          <w:szCs w:val="32"/>
        </w:rPr>
        <w:t>内设科室1个，为办公室。另加挂机构：区未成年人保护委员会办公室、区预防青少年违法犯罪领导小组办公室、区少工委办公室、区青年联合会办公室、区青年职工工作委员会办公室、区注册志愿者协会秘书处、区希望工程办公室。</w:t>
      </w:r>
      <w:r>
        <w:rPr>
          <w:rFonts w:hint="eastAsia" w:ascii="微软雅黑" w:hAnsi="微软雅黑" w:cs="宋体"/>
          <w:color w:val="262626"/>
          <w:sz w:val="32"/>
          <w:szCs w:val="32"/>
        </w:rPr>
        <w:t>  </w:t>
      </w:r>
    </w:p>
    <w:p>
      <w:pPr>
        <w:numPr>
          <w:ilvl w:val="0"/>
          <w:numId w:val="1"/>
        </w:numPr>
        <w:spacing w:line="600" w:lineRule="exact"/>
        <w:ind w:left="0" w:leftChars="0" w:firstLine="600" w:firstLineChars="200"/>
        <w:rPr>
          <w:rFonts w:hint="default" w:ascii="Times New Roman" w:hAnsi="Times New Roman" w:eastAsia="黑体" w:cs="Times New Roman"/>
          <w:sz w:val="30"/>
        </w:rPr>
      </w:pPr>
      <w:r>
        <w:rPr>
          <w:rFonts w:hint="default" w:ascii="Times New Roman" w:hAnsi="Times New Roman" w:eastAsia="黑体" w:cs="Times New Roman"/>
          <w:sz w:val="30"/>
        </w:rPr>
        <w:t>部门（单位）预算管理及执行情况</w:t>
      </w:r>
    </w:p>
    <w:p>
      <w:pPr>
        <w:widowControl/>
        <w:spacing w:line="600" w:lineRule="exact"/>
        <w:ind w:firstLine="627" w:firstLineChars="196"/>
        <w:jc w:val="left"/>
        <w:rPr>
          <w:rFonts w:hint="default" w:eastAsia="仿宋_GB2312"/>
          <w:sz w:val="32"/>
          <w:szCs w:val="32"/>
          <w:lang w:eastAsia="zh-CN"/>
        </w:rPr>
      </w:pPr>
      <w:r>
        <w:rPr>
          <w:rFonts w:hint="default" w:eastAsia="仿宋_GB2312"/>
          <w:sz w:val="32"/>
          <w:szCs w:val="32"/>
          <w:lang w:eastAsia="zh-CN"/>
        </w:rPr>
        <w:t>（一）20</w:t>
      </w:r>
      <w:r>
        <w:rPr>
          <w:rFonts w:hint="eastAsia"/>
          <w:sz w:val="32"/>
          <w:szCs w:val="32"/>
          <w:lang w:val="en-US" w:eastAsia="zh-CN"/>
        </w:rPr>
        <w:t>19</w:t>
      </w:r>
      <w:r>
        <w:rPr>
          <w:rFonts w:hint="default" w:eastAsia="仿宋_GB2312"/>
          <w:sz w:val="32"/>
          <w:szCs w:val="32"/>
          <w:lang w:eastAsia="zh-CN"/>
        </w:rPr>
        <w:t>年度预算基本情况</w:t>
      </w:r>
    </w:p>
    <w:p>
      <w:pPr>
        <w:widowControl/>
        <w:spacing w:line="600" w:lineRule="exact"/>
        <w:ind w:firstLine="627" w:firstLineChars="196"/>
        <w:jc w:val="both"/>
        <w:rPr>
          <w:rFonts w:hint="default" w:eastAsia="仿宋_GB2312"/>
          <w:sz w:val="32"/>
          <w:szCs w:val="32"/>
          <w:lang w:eastAsia="zh-CN"/>
        </w:rPr>
      </w:pPr>
      <w:r>
        <w:rPr>
          <w:rFonts w:hint="default" w:eastAsia="仿宋_GB2312"/>
          <w:sz w:val="32"/>
          <w:szCs w:val="32"/>
          <w:lang w:eastAsia="zh-CN"/>
        </w:rPr>
        <w:t>2019年部门预算包括本级预算和所属单位预算在内的汇总情况。收入既包括一般公共预算收入等收入；支出既包括保障团区委机关基本运行的经费，也包括基层团建工作经费、雷锋号青少年关爱家园等专项经费。</w:t>
      </w:r>
    </w:p>
    <w:p>
      <w:pPr>
        <w:widowControl/>
        <w:spacing w:line="600" w:lineRule="exact"/>
        <w:ind w:firstLine="627" w:firstLineChars="196"/>
        <w:jc w:val="both"/>
        <w:rPr>
          <w:rFonts w:hint="default" w:eastAsia="仿宋_GB2312"/>
          <w:sz w:val="32"/>
          <w:szCs w:val="32"/>
          <w:lang w:eastAsia="zh-CN"/>
        </w:rPr>
      </w:pPr>
      <w:r>
        <w:rPr>
          <w:rFonts w:hint="eastAsia"/>
          <w:sz w:val="32"/>
          <w:szCs w:val="32"/>
          <w:lang w:val="en-US" w:eastAsia="zh-CN"/>
        </w:rPr>
        <w:t>1、</w:t>
      </w:r>
      <w:r>
        <w:rPr>
          <w:rFonts w:hint="default" w:eastAsia="仿宋_GB2312"/>
          <w:sz w:val="32"/>
          <w:szCs w:val="32"/>
          <w:lang w:eastAsia="zh-CN"/>
        </w:rPr>
        <w:t>收入预算，2019年年初预算数219.05万元，其中，一般公共预算拨款219.05万元，政府性基金预算拨款0万元，国有资本经营预算拨款0万元，纳入专户管理的非税收入0万元。收入较去年增加23.21万元，主要是共青团事务专项增加。</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default" w:eastAsia="仿宋_GB2312"/>
          <w:sz w:val="32"/>
          <w:szCs w:val="32"/>
          <w:lang w:eastAsia="zh-CN"/>
        </w:rPr>
      </w:pPr>
      <w:r>
        <w:rPr>
          <w:rFonts w:hint="eastAsia"/>
          <w:sz w:val="32"/>
          <w:szCs w:val="32"/>
          <w:lang w:val="en-US" w:eastAsia="zh-CN"/>
        </w:rPr>
        <w:t>2、</w:t>
      </w:r>
      <w:r>
        <w:rPr>
          <w:rFonts w:hint="default" w:eastAsia="仿宋_GB2312"/>
          <w:sz w:val="32"/>
          <w:szCs w:val="32"/>
          <w:lang w:eastAsia="zh-CN"/>
        </w:rPr>
        <w:t>支出预算，2019年年初预算数219.05万元，其中，一般公共服务219.05万元。支出较去年增加23.21万元，共青团事务专项增加。</w:t>
      </w:r>
    </w:p>
    <w:p>
      <w:pPr>
        <w:widowControl/>
        <w:spacing w:line="600" w:lineRule="exact"/>
        <w:ind w:firstLine="627" w:firstLineChars="196"/>
        <w:jc w:val="both"/>
        <w:rPr>
          <w:rFonts w:hint="default" w:eastAsia="仿宋_GB2312"/>
          <w:sz w:val="32"/>
          <w:szCs w:val="32"/>
          <w:lang w:eastAsia="zh-CN"/>
        </w:rPr>
      </w:pPr>
      <w:r>
        <w:rPr>
          <w:rFonts w:hint="default" w:eastAsia="仿宋_GB2312"/>
          <w:sz w:val="32"/>
          <w:szCs w:val="32"/>
          <w:lang w:eastAsia="zh-CN"/>
        </w:rPr>
        <w:t>（二）201</w:t>
      </w:r>
      <w:r>
        <w:rPr>
          <w:rFonts w:hint="eastAsia"/>
          <w:sz w:val="32"/>
          <w:szCs w:val="32"/>
          <w:lang w:val="en-US" w:eastAsia="zh-CN"/>
        </w:rPr>
        <w:t>9</w:t>
      </w:r>
      <w:r>
        <w:rPr>
          <w:rFonts w:hint="default" w:eastAsia="仿宋_GB2312"/>
          <w:sz w:val="32"/>
          <w:szCs w:val="32"/>
          <w:lang w:eastAsia="zh-CN"/>
        </w:rPr>
        <w:t>年度收支决算情况</w:t>
      </w:r>
    </w:p>
    <w:p>
      <w:pPr>
        <w:widowControl/>
        <w:spacing w:line="600" w:lineRule="exact"/>
        <w:ind w:firstLine="627" w:firstLineChars="196"/>
        <w:jc w:val="both"/>
        <w:rPr>
          <w:rFonts w:hint="default" w:eastAsia="仿宋_GB2312"/>
          <w:sz w:val="32"/>
          <w:szCs w:val="32"/>
          <w:lang w:eastAsia="zh-CN"/>
        </w:rPr>
      </w:pPr>
    </w:p>
    <w:p>
      <w:pPr>
        <w:widowControl/>
        <w:spacing w:line="600" w:lineRule="exact"/>
        <w:ind w:firstLine="627" w:firstLineChars="196"/>
        <w:jc w:val="both"/>
        <w:rPr>
          <w:rFonts w:hint="default" w:eastAsia="仿宋_GB2312"/>
          <w:sz w:val="32"/>
          <w:szCs w:val="32"/>
          <w:lang w:eastAsia="zh-CN"/>
        </w:rPr>
      </w:pPr>
      <w:r>
        <w:rPr>
          <w:rFonts w:hint="default" w:eastAsia="仿宋_GB2312"/>
          <w:sz w:val="32"/>
          <w:szCs w:val="32"/>
          <w:lang w:eastAsia="zh-CN"/>
        </w:rPr>
        <w:t>1</w:t>
      </w:r>
      <w:r>
        <w:rPr>
          <w:rFonts w:hint="eastAsia"/>
          <w:sz w:val="32"/>
          <w:szCs w:val="32"/>
          <w:lang w:eastAsia="zh-CN"/>
        </w:rPr>
        <w:t>、</w:t>
      </w:r>
      <w:r>
        <w:rPr>
          <w:rFonts w:hint="default" w:eastAsia="仿宋_GB2312"/>
          <w:sz w:val="32"/>
          <w:szCs w:val="32"/>
          <w:lang w:eastAsia="zh-CN"/>
        </w:rPr>
        <w:t>201</w:t>
      </w:r>
      <w:r>
        <w:rPr>
          <w:rFonts w:hint="eastAsia"/>
          <w:sz w:val="32"/>
          <w:szCs w:val="32"/>
          <w:lang w:val="en-US" w:eastAsia="zh-CN"/>
        </w:rPr>
        <w:t>9</w:t>
      </w:r>
      <w:r>
        <w:rPr>
          <w:rFonts w:hint="default" w:eastAsia="仿宋_GB2312"/>
          <w:sz w:val="32"/>
          <w:szCs w:val="32"/>
          <w:lang w:eastAsia="zh-CN"/>
        </w:rPr>
        <w:t>年度收入决算情况</w:t>
      </w:r>
    </w:p>
    <w:p>
      <w:pPr>
        <w:widowControl/>
        <w:spacing w:line="600" w:lineRule="exact"/>
        <w:ind w:firstLine="627" w:firstLineChars="196"/>
        <w:jc w:val="both"/>
        <w:rPr>
          <w:rFonts w:hint="default" w:eastAsia="仿宋_GB2312"/>
          <w:sz w:val="32"/>
          <w:szCs w:val="32"/>
          <w:lang w:eastAsia="zh-CN"/>
        </w:rPr>
      </w:pPr>
      <w:r>
        <w:rPr>
          <w:rFonts w:hint="default" w:eastAsia="仿宋_GB2312"/>
          <w:sz w:val="32"/>
          <w:szCs w:val="32"/>
          <w:lang w:eastAsia="zh-CN"/>
        </w:rPr>
        <w:t>201</w:t>
      </w:r>
      <w:r>
        <w:rPr>
          <w:rFonts w:hint="eastAsia"/>
          <w:sz w:val="32"/>
          <w:szCs w:val="32"/>
          <w:lang w:val="en-US" w:eastAsia="zh-CN"/>
        </w:rPr>
        <w:t>9</w:t>
      </w:r>
      <w:r>
        <w:rPr>
          <w:rFonts w:hint="default" w:eastAsia="仿宋_GB2312"/>
          <w:sz w:val="32"/>
          <w:szCs w:val="32"/>
          <w:lang w:eastAsia="zh-CN"/>
        </w:rPr>
        <w:t>年度总收入265</w:t>
      </w:r>
      <w:r>
        <w:rPr>
          <w:rFonts w:hint="eastAsia"/>
          <w:sz w:val="32"/>
          <w:szCs w:val="32"/>
          <w:lang w:val="en-US" w:eastAsia="zh-CN"/>
        </w:rPr>
        <w:t>.</w:t>
      </w:r>
      <w:r>
        <w:rPr>
          <w:rFonts w:hint="default" w:eastAsia="仿宋_GB2312"/>
          <w:sz w:val="32"/>
          <w:szCs w:val="32"/>
          <w:lang w:eastAsia="zh-CN"/>
        </w:rPr>
        <w:t>0</w:t>
      </w:r>
      <w:r>
        <w:rPr>
          <w:rFonts w:hint="eastAsia"/>
          <w:sz w:val="32"/>
          <w:szCs w:val="32"/>
          <w:lang w:val="en-US" w:eastAsia="zh-CN"/>
        </w:rPr>
        <w:t>7</w:t>
      </w:r>
      <w:r>
        <w:rPr>
          <w:rFonts w:hint="default" w:eastAsia="仿宋_GB2312"/>
          <w:sz w:val="32"/>
          <w:szCs w:val="32"/>
          <w:lang w:eastAsia="zh-CN"/>
        </w:rPr>
        <w:t>万元，其中：财政拨款收入265</w:t>
      </w:r>
      <w:r>
        <w:rPr>
          <w:rFonts w:hint="eastAsia"/>
          <w:sz w:val="32"/>
          <w:szCs w:val="32"/>
          <w:lang w:val="en-US" w:eastAsia="zh-CN"/>
        </w:rPr>
        <w:t>.</w:t>
      </w:r>
      <w:r>
        <w:rPr>
          <w:rFonts w:hint="default" w:eastAsia="仿宋_GB2312"/>
          <w:sz w:val="32"/>
          <w:szCs w:val="32"/>
          <w:lang w:eastAsia="zh-CN"/>
        </w:rPr>
        <w:t>0</w:t>
      </w:r>
      <w:r>
        <w:rPr>
          <w:rFonts w:hint="eastAsia"/>
          <w:sz w:val="32"/>
          <w:szCs w:val="32"/>
          <w:lang w:val="en-US" w:eastAsia="zh-CN"/>
        </w:rPr>
        <w:t>7</w:t>
      </w:r>
      <w:r>
        <w:rPr>
          <w:rFonts w:hint="default" w:eastAsia="仿宋_GB2312"/>
          <w:sz w:val="32"/>
          <w:szCs w:val="32"/>
          <w:lang w:eastAsia="zh-CN"/>
        </w:rPr>
        <w:t>万元，占100%。</w:t>
      </w:r>
    </w:p>
    <w:p>
      <w:pPr>
        <w:widowControl/>
        <w:spacing w:line="600" w:lineRule="exact"/>
        <w:ind w:firstLine="627" w:firstLineChars="196"/>
        <w:jc w:val="both"/>
        <w:rPr>
          <w:rFonts w:hint="default" w:eastAsia="仿宋_GB2312"/>
          <w:sz w:val="32"/>
          <w:szCs w:val="32"/>
          <w:lang w:eastAsia="zh-CN"/>
        </w:rPr>
      </w:pPr>
      <w:r>
        <w:rPr>
          <w:rFonts w:hint="default" w:eastAsia="仿宋_GB2312"/>
          <w:sz w:val="32"/>
          <w:szCs w:val="32"/>
          <w:lang w:eastAsia="zh-CN"/>
        </w:rPr>
        <w:t>2</w:t>
      </w:r>
      <w:r>
        <w:rPr>
          <w:rFonts w:hint="eastAsia"/>
          <w:sz w:val="32"/>
          <w:szCs w:val="32"/>
          <w:lang w:eastAsia="zh-CN"/>
        </w:rPr>
        <w:t>、</w:t>
      </w:r>
      <w:r>
        <w:rPr>
          <w:rFonts w:hint="default" w:eastAsia="仿宋_GB2312"/>
          <w:sz w:val="32"/>
          <w:szCs w:val="32"/>
          <w:lang w:eastAsia="zh-CN"/>
        </w:rPr>
        <w:t>201</w:t>
      </w:r>
      <w:r>
        <w:rPr>
          <w:rFonts w:hint="eastAsia"/>
          <w:sz w:val="32"/>
          <w:szCs w:val="32"/>
          <w:lang w:val="en-US" w:eastAsia="zh-CN"/>
        </w:rPr>
        <w:t>9</w:t>
      </w:r>
      <w:r>
        <w:rPr>
          <w:rFonts w:hint="default" w:eastAsia="仿宋_GB2312"/>
          <w:sz w:val="32"/>
          <w:szCs w:val="32"/>
          <w:lang w:eastAsia="zh-CN"/>
        </w:rPr>
        <w:t>年度支出决算情况</w:t>
      </w:r>
    </w:p>
    <w:p>
      <w:pPr>
        <w:widowControl/>
        <w:spacing w:line="600" w:lineRule="exact"/>
        <w:ind w:firstLine="627" w:firstLineChars="196"/>
        <w:jc w:val="both"/>
        <w:rPr>
          <w:rFonts w:hint="default" w:eastAsia="仿宋_GB2312"/>
          <w:sz w:val="32"/>
          <w:szCs w:val="32"/>
          <w:lang w:eastAsia="zh-CN"/>
        </w:rPr>
      </w:pPr>
      <w:r>
        <w:rPr>
          <w:rFonts w:hint="default" w:eastAsia="仿宋_GB2312"/>
          <w:sz w:val="32"/>
          <w:szCs w:val="32"/>
          <w:lang w:eastAsia="zh-CN"/>
        </w:rPr>
        <w:t>201</w:t>
      </w:r>
      <w:r>
        <w:rPr>
          <w:rFonts w:hint="eastAsia"/>
          <w:sz w:val="32"/>
          <w:szCs w:val="32"/>
          <w:lang w:val="en-US" w:eastAsia="zh-CN"/>
        </w:rPr>
        <w:t>9</w:t>
      </w:r>
      <w:r>
        <w:rPr>
          <w:rFonts w:hint="default" w:eastAsia="仿宋_GB2312"/>
          <w:sz w:val="32"/>
          <w:szCs w:val="32"/>
          <w:lang w:eastAsia="zh-CN"/>
        </w:rPr>
        <w:t>年度总支出1192.36万元，其中基本支出81</w:t>
      </w:r>
      <w:r>
        <w:rPr>
          <w:rFonts w:hint="eastAsia"/>
          <w:sz w:val="32"/>
          <w:szCs w:val="32"/>
          <w:lang w:val="en-US" w:eastAsia="zh-CN"/>
        </w:rPr>
        <w:t>.</w:t>
      </w:r>
      <w:r>
        <w:rPr>
          <w:rFonts w:hint="default" w:eastAsia="仿宋_GB2312"/>
          <w:sz w:val="32"/>
          <w:szCs w:val="32"/>
          <w:lang w:eastAsia="zh-CN"/>
        </w:rPr>
        <w:t>69万元</w:t>
      </w:r>
      <w:r>
        <w:rPr>
          <w:rFonts w:hint="eastAsia"/>
          <w:sz w:val="32"/>
          <w:szCs w:val="32"/>
          <w:lang w:eastAsia="zh-CN"/>
        </w:rPr>
        <w:t>，</w:t>
      </w:r>
      <w:r>
        <w:rPr>
          <w:rFonts w:hint="default" w:eastAsia="仿宋_GB2312"/>
          <w:sz w:val="32"/>
          <w:szCs w:val="32"/>
          <w:lang w:eastAsia="zh-CN"/>
        </w:rPr>
        <w:t>项目支出183</w:t>
      </w:r>
      <w:r>
        <w:rPr>
          <w:rFonts w:hint="eastAsia"/>
          <w:sz w:val="32"/>
          <w:szCs w:val="32"/>
          <w:lang w:val="en-US" w:eastAsia="zh-CN"/>
        </w:rPr>
        <w:t>.</w:t>
      </w:r>
      <w:r>
        <w:rPr>
          <w:rFonts w:hint="default" w:eastAsia="仿宋_GB2312"/>
          <w:sz w:val="32"/>
          <w:szCs w:val="32"/>
          <w:lang w:eastAsia="zh-CN"/>
        </w:rPr>
        <w:t>37万元</w:t>
      </w:r>
      <w:r>
        <w:rPr>
          <w:rFonts w:hint="eastAsia"/>
          <w:sz w:val="32"/>
          <w:szCs w:val="32"/>
          <w:lang w:eastAsia="zh-CN"/>
        </w:rPr>
        <w:t>。</w:t>
      </w:r>
    </w:p>
    <w:p>
      <w:pPr>
        <w:widowControl/>
        <w:spacing w:line="600" w:lineRule="exact"/>
        <w:ind w:firstLine="627" w:firstLineChars="196"/>
        <w:jc w:val="both"/>
        <w:rPr>
          <w:rFonts w:hint="default" w:eastAsia="仿宋_GB2312"/>
          <w:sz w:val="32"/>
          <w:szCs w:val="32"/>
          <w:lang w:eastAsia="zh-CN"/>
        </w:rPr>
      </w:pPr>
      <w:r>
        <w:rPr>
          <w:rFonts w:hint="default" w:eastAsia="仿宋_GB2312"/>
          <w:sz w:val="32"/>
          <w:szCs w:val="32"/>
          <w:lang w:eastAsia="zh-CN"/>
        </w:rPr>
        <w:t>（三）使用管理情况</w:t>
      </w:r>
    </w:p>
    <w:p>
      <w:pPr>
        <w:widowControl/>
        <w:spacing w:line="600" w:lineRule="exact"/>
        <w:ind w:firstLine="627" w:firstLineChars="196"/>
        <w:jc w:val="both"/>
        <w:rPr>
          <w:rFonts w:hint="default" w:eastAsia="仿宋_GB2312"/>
          <w:sz w:val="32"/>
          <w:szCs w:val="32"/>
          <w:lang w:eastAsia="zh-CN"/>
        </w:rPr>
      </w:pPr>
      <w:r>
        <w:rPr>
          <w:rFonts w:hint="default" w:eastAsia="仿宋_GB2312"/>
          <w:sz w:val="32"/>
          <w:szCs w:val="32"/>
          <w:lang w:eastAsia="zh-CN"/>
        </w:rPr>
        <w:t>1、基本支出：201</w:t>
      </w:r>
      <w:r>
        <w:rPr>
          <w:rFonts w:hint="eastAsia"/>
          <w:sz w:val="32"/>
          <w:szCs w:val="32"/>
          <w:lang w:val="en-US" w:eastAsia="zh-CN"/>
        </w:rPr>
        <w:t>9</w:t>
      </w:r>
      <w:r>
        <w:rPr>
          <w:rFonts w:hint="default" w:eastAsia="仿宋_GB2312"/>
          <w:sz w:val="32"/>
          <w:szCs w:val="32"/>
          <w:lang w:eastAsia="zh-CN"/>
        </w:rPr>
        <w:t>年决算数为81</w:t>
      </w:r>
      <w:r>
        <w:rPr>
          <w:rFonts w:hint="eastAsia"/>
          <w:sz w:val="32"/>
          <w:szCs w:val="32"/>
          <w:lang w:val="en-US" w:eastAsia="zh-CN"/>
        </w:rPr>
        <w:t>.</w:t>
      </w:r>
      <w:r>
        <w:rPr>
          <w:rFonts w:hint="default" w:eastAsia="仿宋_GB2312"/>
          <w:sz w:val="32"/>
          <w:szCs w:val="32"/>
          <w:lang w:eastAsia="zh-CN"/>
        </w:rPr>
        <w:t xml:space="preserve">69万元，是指为保障单位机构运转、完成日常工作任务而发生的各项支出，包括基本工资、津贴补贴等人员经费以及办公费、印刷费、水电费、办公设备购置等日常公用经费。 </w:t>
      </w:r>
    </w:p>
    <w:p>
      <w:pPr>
        <w:widowControl/>
        <w:spacing w:line="600" w:lineRule="exact"/>
        <w:ind w:firstLine="627" w:firstLineChars="196"/>
        <w:jc w:val="both"/>
        <w:rPr>
          <w:rFonts w:hint="default" w:eastAsia="仿宋_GB2312"/>
          <w:sz w:val="32"/>
          <w:szCs w:val="32"/>
          <w:lang w:eastAsia="zh-CN"/>
        </w:rPr>
      </w:pPr>
      <w:r>
        <w:rPr>
          <w:rFonts w:hint="default" w:eastAsia="仿宋_GB2312"/>
          <w:sz w:val="32"/>
          <w:szCs w:val="32"/>
          <w:lang w:eastAsia="zh-CN"/>
        </w:rPr>
        <w:t>2、项目支出</w:t>
      </w:r>
      <w:r>
        <w:rPr>
          <w:rFonts w:hint="eastAsia"/>
          <w:sz w:val="32"/>
          <w:szCs w:val="32"/>
          <w:lang w:eastAsia="zh-CN"/>
        </w:rPr>
        <w:t>：</w:t>
      </w:r>
      <w:r>
        <w:rPr>
          <w:rFonts w:hint="default" w:eastAsia="仿宋_GB2312"/>
          <w:sz w:val="32"/>
          <w:szCs w:val="32"/>
          <w:lang w:eastAsia="zh-CN"/>
        </w:rPr>
        <w:t>201</w:t>
      </w:r>
      <w:r>
        <w:rPr>
          <w:rFonts w:hint="eastAsia"/>
          <w:sz w:val="32"/>
          <w:szCs w:val="32"/>
          <w:lang w:val="en-US" w:eastAsia="zh-CN"/>
        </w:rPr>
        <w:t>9</w:t>
      </w:r>
      <w:r>
        <w:rPr>
          <w:rFonts w:hint="default" w:eastAsia="仿宋_GB2312"/>
          <w:sz w:val="32"/>
          <w:szCs w:val="32"/>
          <w:lang w:eastAsia="zh-CN"/>
        </w:rPr>
        <w:t>年决算数为183</w:t>
      </w:r>
      <w:r>
        <w:rPr>
          <w:rFonts w:hint="eastAsia"/>
          <w:sz w:val="32"/>
          <w:szCs w:val="32"/>
          <w:lang w:val="en-US" w:eastAsia="zh-CN"/>
        </w:rPr>
        <w:t>.</w:t>
      </w:r>
      <w:r>
        <w:rPr>
          <w:rFonts w:hint="default" w:eastAsia="仿宋_GB2312"/>
          <w:sz w:val="32"/>
          <w:szCs w:val="32"/>
          <w:lang w:eastAsia="zh-CN"/>
        </w:rPr>
        <w:t xml:space="preserve">37万元，是指单位为完成特定行政工作或事业发展目标而发生的支出，包含日常经费、专项工作经费、雷锋号青少年关爱家园专项工作经费等。 </w:t>
      </w:r>
    </w:p>
    <w:p>
      <w:pPr>
        <w:widowControl/>
        <w:spacing w:line="600" w:lineRule="exact"/>
        <w:ind w:firstLine="627" w:firstLineChars="196"/>
        <w:jc w:val="both"/>
        <w:rPr>
          <w:rFonts w:hint="default" w:eastAsia="仿宋_GB2312"/>
          <w:sz w:val="32"/>
          <w:szCs w:val="32"/>
          <w:lang w:eastAsia="zh-CN"/>
        </w:rPr>
      </w:pPr>
      <w:r>
        <w:rPr>
          <w:rFonts w:hint="default" w:eastAsia="仿宋_GB2312"/>
          <w:sz w:val="32"/>
          <w:szCs w:val="32"/>
          <w:lang w:eastAsia="zh-CN"/>
        </w:rPr>
        <w:t>3、各项支出：工资和福利支出在基本工资在占比最大，包括基本工资、津贴补贴等人员经费，受正常的晋级晋档、工资调标等因素影响，相应增加。</w:t>
      </w:r>
    </w:p>
    <w:p>
      <w:pPr>
        <w:spacing w:line="600" w:lineRule="exact"/>
        <w:ind w:firstLine="600" w:firstLineChars="200"/>
        <w:rPr>
          <w:rFonts w:hint="eastAsia" w:ascii="Times New Roman" w:hAnsi="Times New Roman" w:eastAsia="黑体" w:cs="Times New Roman"/>
          <w:sz w:val="30"/>
          <w:lang w:eastAsia="zh-CN"/>
        </w:rPr>
      </w:pPr>
      <w:r>
        <w:rPr>
          <w:rFonts w:hint="eastAsia" w:ascii="Times New Roman" w:hAnsi="Times New Roman" w:eastAsia="黑体" w:cs="Times New Roman"/>
          <w:sz w:val="30"/>
          <w:lang w:eastAsia="zh-CN"/>
        </w:rPr>
        <w:t>三、</w:t>
      </w:r>
      <w:r>
        <w:rPr>
          <w:rFonts w:hint="default" w:ascii="Times New Roman" w:hAnsi="Times New Roman" w:eastAsia="黑体" w:cs="Times New Roman"/>
          <w:sz w:val="30"/>
        </w:rPr>
        <w:t>部门（单位）</w:t>
      </w:r>
      <w:r>
        <w:rPr>
          <w:rFonts w:hint="eastAsia" w:ascii="Times New Roman" w:hAnsi="Times New Roman" w:eastAsia="黑体" w:cs="Times New Roman"/>
          <w:sz w:val="30"/>
          <w:lang w:eastAsia="zh-CN"/>
        </w:rPr>
        <w:t>资产管理情况</w:t>
      </w:r>
    </w:p>
    <w:p>
      <w:pPr>
        <w:keepNext w:val="0"/>
        <w:keepLines w:val="0"/>
        <w:pageBreakBefore w:val="0"/>
        <w:widowControl w:val="0"/>
        <w:kinsoku/>
        <w:wordWrap/>
        <w:overflowPunct/>
        <w:topLinePunct w:val="0"/>
        <w:autoSpaceDE/>
        <w:autoSpaceDN/>
        <w:bidi w:val="0"/>
        <w:adjustRightInd/>
        <w:snapToGrid/>
        <w:spacing w:line="520" w:lineRule="exact"/>
        <w:ind w:firstLine="720" w:firstLineChars="225"/>
        <w:textAlignment w:val="auto"/>
        <w:rPr>
          <w:rFonts w:hint="eastAsia" w:ascii="仿宋_GB2312" w:eastAsia="仿宋_GB2312"/>
          <w:sz w:val="32"/>
          <w:szCs w:val="32"/>
          <w:lang w:val="en-US" w:eastAsia="zh-CN"/>
        </w:rPr>
      </w:pPr>
      <w:r>
        <w:rPr>
          <w:rFonts w:hint="eastAsia" w:ascii="仿宋_GB2312" w:eastAsia="仿宋_GB2312"/>
          <w:sz w:val="32"/>
          <w:szCs w:val="32"/>
          <w:lang w:eastAsia="zh-CN"/>
        </w:rPr>
        <w:t>本单位</w:t>
      </w:r>
      <w:r>
        <w:rPr>
          <w:rFonts w:hint="eastAsia" w:ascii="仿宋_GB2312" w:eastAsia="仿宋_GB2312"/>
          <w:sz w:val="32"/>
          <w:szCs w:val="32"/>
          <w:lang w:val="en-US" w:eastAsia="zh-CN"/>
        </w:rPr>
        <w:t>2019年资产总量期初数为235598.00元，期末数为126562.37元。2019年期末资产构成包括流动资产72250元，占比57.1%，固定资产54312.37元，占比42.9%。固定资产中，通用资产净值为2967.03元，占固定资产总额比例为5.47%；家具、用具、装具及动植物等净值为51345.34元，占固定资产总额比例为94.53%。总资产增长率为-46.28%，流动资产增长率为-21.85%，固定资产增长率为-16.28%。</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default" w:ascii="仿宋_GB2312" w:eastAsia="仿宋_GB2312"/>
          <w:sz w:val="32"/>
          <w:szCs w:val="32"/>
          <w:lang w:val="en-US" w:eastAsia="zh-CN"/>
        </w:rPr>
      </w:pPr>
      <w:r>
        <w:rPr>
          <w:rFonts w:hint="eastAsia" w:ascii="仿宋_GB2312" w:eastAsia="仿宋_GB2312"/>
          <w:sz w:val="32"/>
          <w:szCs w:val="32"/>
          <w:lang w:val="en-US" w:eastAsia="zh-CN"/>
        </w:rPr>
        <w:t>2019年配置固定资产为新购家具，价值1098元。自用资产正常使用，无出租出借资产和对外投资情况。无资产收益情况。</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eastAsia="仿宋_GB2312"/>
          <w:sz w:val="32"/>
          <w:szCs w:val="32"/>
          <w:lang w:val="en-US" w:eastAsia="zh-CN"/>
        </w:rPr>
      </w:pPr>
      <w:r>
        <w:rPr>
          <w:rFonts w:hint="eastAsia" w:ascii="仿宋_GB2312" w:hAnsi="楷体" w:eastAsia="仿宋_GB2312"/>
          <w:kern w:val="0"/>
          <w:sz w:val="32"/>
          <w:szCs w:val="32"/>
          <w:lang w:eastAsia="zh-CN"/>
        </w:rPr>
        <w:t>本单位为加强国有资产管理，由分管财务的副书记负责，全面掌握国有资产使用登记情况，并明确专人负责此项工作。进一步整理、完善财务国有资产卡片，做到账实相符、账卡相符、账账相符。对新购入的资产管理落实到人头，实现“谁使用、谁管理、谁负责”。资产管理进入常态化模式，每年由财务工作人员负责，由办公室人员协助，对资产进行一年一清查，及时掌握国有资产变动情况，对盘盈、盘亏、待报废资产及时处置，把好出入关，确保账账、账表、账物、账卡一致。</w:t>
      </w:r>
    </w:p>
    <w:p>
      <w:pPr>
        <w:numPr>
          <w:numId w:val="0"/>
        </w:numPr>
        <w:spacing w:line="600" w:lineRule="exact"/>
        <w:ind w:leftChars="200"/>
        <w:rPr>
          <w:rFonts w:hint="default" w:ascii="Times New Roman" w:hAnsi="Times New Roman" w:eastAsia="黑体" w:cs="Times New Roman"/>
          <w:sz w:val="30"/>
        </w:rPr>
      </w:pPr>
      <w:r>
        <w:rPr>
          <w:rFonts w:hint="eastAsia" w:ascii="Times New Roman" w:hAnsi="Times New Roman" w:eastAsia="黑体" w:cs="Times New Roman"/>
          <w:sz w:val="30"/>
          <w:lang w:eastAsia="zh-CN"/>
        </w:rPr>
        <w:t>四、</w:t>
      </w:r>
      <w:r>
        <w:rPr>
          <w:rFonts w:hint="default" w:ascii="Times New Roman" w:hAnsi="Times New Roman" w:eastAsia="黑体" w:cs="Times New Roman"/>
          <w:sz w:val="30"/>
        </w:rPr>
        <w:t>部门（单位）整体支出绩效目标及开展情况</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hAnsi="楷体"/>
          <w:kern w:val="0"/>
          <w:sz w:val="32"/>
          <w:szCs w:val="32"/>
          <w:lang w:eastAsia="zh-CN"/>
        </w:rPr>
      </w:pPr>
      <w:r>
        <w:rPr>
          <w:rFonts w:hint="default" w:eastAsia="仿宋_GB2312"/>
          <w:sz w:val="32"/>
          <w:szCs w:val="32"/>
          <w:lang w:eastAsia="zh-CN"/>
        </w:rPr>
        <w:t>（</w:t>
      </w:r>
      <w:r>
        <w:rPr>
          <w:rFonts w:hint="eastAsia"/>
          <w:sz w:val="32"/>
          <w:szCs w:val="32"/>
          <w:lang w:eastAsia="zh-CN"/>
        </w:rPr>
        <w:t>一</w:t>
      </w:r>
      <w:r>
        <w:rPr>
          <w:rFonts w:hint="default" w:eastAsia="仿宋_GB2312"/>
          <w:sz w:val="32"/>
          <w:szCs w:val="32"/>
          <w:lang w:eastAsia="zh-CN"/>
        </w:rPr>
        <w:t>）</w:t>
      </w:r>
      <w:r>
        <w:rPr>
          <w:rFonts w:hint="eastAsia" w:hAnsi="楷体"/>
          <w:kern w:val="0"/>
          <w:sz w:val="32"/>
          <w:szCs w:val="32"/>
          <w:lang w:eastAsia="zh-CN"/>
        </w:rPr>
        <w:t>年初目标</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楷体" w:eastAsia="仿宋_GB2312"/>
          <w:kern w:val="0"/>
          <w:sz w:val="32"/>
          <w:szCs w:val="32"/>
          <w:lang w:eastAsia="zh-CN"/>
        </w:rPr>
      </w:pPr>
      <w:r>
        <w:rPr>
          <w:rFonts w:hint="default" w:ascii="仿宋_GB2312" w:hAnsi="楷体" w:eastAsia="仿宋_GB2312"/>
          <w:kern w:val="0"/>
          <w:sz w:val="32"/>
          <w:szCs w:val="32"/>
          <w:lang w:eastAsia="zh-CN"/>
        </w:rPr>
        <w:t>以习近平新时代中国特色社会主义思想、党的十九大和十九届二中、三中全会精神为指导，按照区委二届十次全会的战略布局和省、市团委工作部署，聚焦“三项职责使命”、深化改革攻坚、全面从严治团，以基层建设年为总揽，打造好“雷锋号”青年项目，组织好《“团”聚望城》系列活动，持续建设干在实处、走在前列、近在身边、严在常态的望城共青团，团结带领广大团员青年奋力助推望城高质量发展，以良好工作业绩迎接新中国成立70周年、五四运动100周年。</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hAnsi="楷体"/>
          <w:kern w:val="0"/>
          <w:sz w:val="32"/>
          <w:szCs w:val="32"/>
          <w:lang w:eastAsia="zh-CN"/>
        </w:rPr>
      </w:pPr>
      <w:r>
        <w:rPr>
          <w:rFonts w:hint="default" w:eastAsia="仿宋_GB2312"/>
          <w:sz w:val="32"/>
          <w:szCs w:val="32"/>
          <w:lang w:eastAsia="zh-CN"/>
        </w:rPr>
        <w:t>（</w:t>
      </w:r>
      <w:r>
        <w:rPr>
          <w:rFonts w:hint="eastAsia"/>
          <w:sz w:val="32"/>
          <w:szCs w:val="32"/>
          <w:lang w:eastAsia="zh-CN"/>
        </w:rPr>
        <w:t>二</w:t>
      </w:r>
      <w:r>
        <w:rPr>
          <w:rFonts w:hint="default" w:eastAsia="仿宋_GB2312"/>
          <w:sz w:val="32"/>
          <w:szCs w:val="32"/>
          <w:lang w:eastAsia="zh-CN"/>
        </w:rPr>
        <w:t>）</w:t>
      </w:r>
      <w:r>
        <w:rPr>
          <w:rFonts w:hint="eastAsia" w:hAnsi="楷体"/>
          <w:kern w:val="0"/>
          <w:sz w:val="32"/>
          <w:szCs w:val="32"/>
          <w:lang w:eastAsia="zh-CN"/>
        </w:rPr>
        <w:t>开展情况</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楷体" w:eastAsia="仿宋_GB2312"/>
          <w:kern w:val="0"/>
          <w:sz w:val="32"/>
          <w:szCs w:val="32"/>
          <w:lang w:eastAsia="zh-CN"/>
        </w:rPr>
      </w:pPr>
      <w:r>
        <w:rPr>
          <w:rFonts w:hint="default" w:ascii="仿宋_GB2312" w:hAnsi="楷体" w:eastAsia="仿宋_GB2312"/>
          <w:kern w:val="0"/>
          <w:sz w:val="32"/>
          <w:szCs w:val="32"/>
          <w:lang w:eastAsia="zh-CN"/>
        </w:rPr>
        <w:t>实施“雷锋号”青年讲师团计划；优化团属新媒体矩阵建设。聚焦主责主业，实现改革强团。实施“雷锋号”青年学院计划。组建“雷锋号”青年志愿服务支队。实施农村青年人才“领头雁”计划。加强团的干部队伍建设。加强团的组织建设。加强团员先进性建设。全年完成情况较好。</w:t>
      </w:r>
    </w:p>
    <w:p>
      <w:pPr>
        <w:spacing w:line="600" w:lineRule="exact"/>
        <w:ind w:firstLine="600" w:firstLineChars="200"/>
        <w:rPr>
          <w:rFonts w:hint="default" w:ascii="Times New Roman" w:hAnsi="Times New Roman" w:eastAsia="黑体" w:cs="Times New Roman"/>
          <w:sz w:val="30"/>
        </w:rPr>
      </w:pPr>
      <w:r>
        <w:rPr>
          <w:rFonts w:hint="eastAsia" w:ascii="Times New Roman" w:hAnsi="Times New Roman" w:eastAsia="黑体" w:cs="Times New Roman"/>
          <w:sz w:val="30"/>
          <w:lang w:eastAsia="zh-CN"/>
        </w:rPr>
        <w:t>五</w:t>
      </w:r>
      <w:r>
        <w:rPr>
          <w:rFonts w:hint="default" w:ascii="Times New Roman" w:hAnsi="Times New Roman" w:eastAsia="黑体" w:cs="Times New Roman"/>
          <w:sz w:val="30"/>
        </w:rPr>
        <w:t>、部门（单位）整体支出绩效实现情况</w:t>
      </w:r>
    </w:p>
    <w:p>
      <w:pPr>
        <w:spacing w:line="600" w:lineRule="exact"/>
        <w:ind w:firstLine="600" w:firstLineChars="200"/>
        <w:rPr>
          <w:rFonts w:hint="default" w:ascii="Times New Roman" w:hAnsi="Times New Roman" w:eastAsia="仿宋_GB2312" w:cs="Times New Roman"/>
          <w:sz w:val="30"/>
        </w:rPr>
      </w:pPr>
      <w:r>
        <w:rPr>
          <w:rFonts w:hint="default" w:ascii="Times New Roman" w:hAnsi="Times New Roman" w:eastAsia="仿宋_GB2312" w:cs="Times New Roman"/>
          <w:sz w:val="30"/>
        </w:rPr>
        <w:t>（一）履职完成情况</w:t>
      </w:r>
    </w:p>
    <w:p>
      <w:pPr>
        <w:spacing w:line="600" w:lineRule="exact"/>
        <w:ind w:firstLine="600" w:firstLineChars="200"/>
        <w:rPr>
          <w:rFonts w:hint="default" w:ascii="Times New Roman" w:hAnsi="Times New Roman" w:eastAsia="仿宋_GB2312" w:cs="Times New Roman"/>
          <w:sz w:val="30"/>
        </w:rPr>
      </w:pPr>
      <w:r>
        <w:rPr>
          <w:rFonts w:hint="default" w:ascii="Times New Roman" w:hAnsi="Times New Roman" w:eastAsia="仿宋_GB2312" w:cs="Times New Roman"/>
          <w:sz w:val="30"/>
        </w:rPr>
        <w:t>201</w:t>
      </w:r>
      <w:r>
        <w:rPr>
          <w:rFonts w:hint="eastAsia" w:ascii="Times New Roman" w:hAnsi="Times New Roman" w:cs="Times New Roman"/>
          <w:sz w:val="30"/>
          <w:lang w:val="en-US" w:eastAsia="zh-CN"/>
        </w:rPr>
        <w:t>9</w:t>
      </w:r>
      <w:r>
        <w:rPr>
          <w:rFonts w:hint="default" w:ascii="Times New Roman" w:hAnsi="Times New Roman" w:eastAsia="仿宋_GB2312" w:cs="Times New Roman"/>
          <w:sz w:val="30"/>
        </w:rPr>
        <w:t>年我单位在全体干部职工的共同努力下圆满出色完成了各项工作目标和任务。</w:t>
      </w:r>
    </w:p>
    <w:p>
      <w:pPr>
        <w:numPr>
          <w:ilvl w:val="0"/>
          <w:numId w:val="2"/>
        </w:numPr>
        <w:spacing w:line="600" w:lineRule="exact"/>
        <w:ind w:firstLine="600" w:firstLineChars="200"/>
        <w:rPr>
          <w:rFonts w:hint="default" w:ascii="Times New Roman" w:hAnsi="Times New Roman" w:eastAsia="仿宋_GB2312" w:cs="Times New Roman"/>
          <w:sz w:val="30"/>
        </w:rPr>
      </w:pPr>
      <w:r>
        <w:rPr>
          <w:rFonts w:hint="default" w:ascii="Times New Roman" w:hAnsi="Times New Roman" w:eastAsia="仿宋_GB2312" w:cs="Times New Roman"/>
          <w:sz w:val="30"/>
        </w:rPr>
        <w:t>履职效果情况</w:t>
      </w:r>
    </w:p>
    <w:p>
      <w:pPr>
        <w:numPr>
          <w:numId w:val="0"/>
        </w:numPr>
        <w:spacing w:line="600" w:lineRule="exact"/>
        <w:ind w:firstLine="600" w:firstLineChars="200"/>
        <w:rPr>
          <w:rFonts w:hint="default" w:ascii="Times New Roman" w:hAnsi="Times New Roman" w:eastAsia="仿宋_GB2312" w:cs="Times New Roman"/>
          <w:sz w:val="30"/>
        </w:rPr>
      </w:pPr>
      <w:r>
        <w:rPr>
          <w:rFonts w:hint="default" w:ascii="Times New Roman" w:hAnsi="Times New Roman" w:eastAsia="仿宋_GB2312" w:cs="Times New Roman"/>
          <w:sz w:val="30"/>
        </w:rPr>
        <w:t>经济效益、社会效益得10分：我单位的各方面工作都得到社会大众的肯定和好评。</w:t>
      </w:r>
    </w:p>
    <w:p>
      <w:pPr>
        <w:numPr>
          <w:numId w:val="0"/>
        </w:numPr>
        <w:spacing w:line="600" w:lineRule="exact"/>
        <w:ind w:firstLine="600" w:firstLineChars="200"/>
        <w:rPr>
          <w:rFonts w:hint="default" w:ascii="Times New Roman" w:hAnsi="Times New Roman" w:eastAsia="仿宋_GB2312" w:cs="Times New Roman"/>
          <w:sz w:val="30"/>
        </w:rPr>
      </w:pPr>
      <w:r>
        <w:rPr>
          <w:rFonts w:hint="default" w:ascii="Times New Roman" w:hAnsi="Times New Roman" w:eastAsia="仿宋_GB2312" w:cs="Times New Roman"/>
          <w:sz w:val="30"/>
        </w:rPr>
        <w:t>行政效能得6分：我单位不断改善行政管理、严格经费及资产管理，改进文风会风，精简会议，提高了行政效率，降低了行政成本。</w:t>
      </w:r>
    </w:p>
    <w:p>
      <w:pPr>
        <w:numPr>
          <w:numId w:val="0"/>
        </w:numPr>
        <w:spacing w:line="600" w:lineRule="exact"/>
        <w:ind w:firstLine="600" w:firstLineChars="200"/>
        <w:rPr>
          <w:rFonts w:hint="default" w:ascii="Times New Roman" w:hAnsi="Times New Roman" w:eastAsia="仿宋_GB2312" w:cs="Times New Roman"/>
          <w:sz w:val="30"/>
          <w:lang w:val="en-US" w:eastAsia="zh-CN"/>
        </w:rPr>
      </w:pPr>
      <w:r>
        <w:rPr>
          <w:rFonts w:hint="default" w:ascii="Times New Roman" w:hAnsi="Times New Roman" w:eastAsia="仿宋_GB2312" w:cs="Times New Roman"/>
          <w:sz w:val="30"/>
        </w:rPr>
        <w:t>社会公众或服务对象满意度得6分：</w:t>
      </w:r>
      <w:r>
        <w:rPr>
          <w:rFonts w:hint="eastAsia" w:ascii="Times New Roman" w:hAnsi="Times New Roman" w:cs="Times New Roman"/>
          <w:sz w:val="30"/>
          <w:lang w:val="en-US" w:eastAsia="zh-CN"/>
        </w:rPr>
        <w:t>2019年团区委全年工作获得了全区青少年的肯定，青少年满意度较高。</w:t>
      </w:r>
    </w:p>
    <w:p>
      <w:pPr>
        <w:numPr>
          <w:ilvl w:val="0"/>
          <w:numId w:val="2"/>
        </w:numPr>
        <w:spacing w:line="600" w:lineRule="exact"/>
        <w:ind w:left="0" w:leftChars="0" w:firstLine="600" w:firstLineChars="200"/>
        <w:rPr>
          <w:rFonts w:hint="default" w:ascii="Times New Roman" w:hAnsi="Times New Roman" w:eastAsia="仿宋_GB2312" w:cs="Times New Roman"/>
          <w:sz w:val="30"/>
        </w:rPr>
      </w:pPr>
      <w:r>
        <w:rPr>
          <w:rFonts w:hint="default" w:ascii="Times New Roman" w:hAnsi="Times New Roman" w:eastAsia="仿宋_GB2312" w:cs="Times New Roman"/>
          <w:sz w:val="30"/>
        </w:rPr>
        <w:t>社会满意度情况</w:t>
      </w:r>
    </w:p>
    <w:p>
      <w:pPr>
        <w:numPr>
          <w:ilvl w:val="0"/>
          <w:numId w:val="0"/>
        </w:numPr>
        <w:spacing w:line="600" w:lineRule="exact"/>
        <w:ind w:firstLine="600" w:firstLineChars="200"/>
        <w:rPr>
          <w:rFonts w:hint="eastAsia" w:ascii="Times New Roman" w:hAnsi="Times New Roman" w:eastAsia="仿宋_GB2312" w:cs="Times New Roman"/>
          <w:sz w:val="30"/>
          <w:lang w:eastAsia="zh-CN"/>
        </w:rPr>
      </w:pPr>
      <w:r>
        <w:rPr>
          <w:rFonts w:hint="eastAsia" w:ascii="Times New Roman" w:hAnsi="Times New Roman" w:eastAsia="仿宋_GB2312" w:cs="Times New Roman"/>
          <w:sz w:val="30"/>
          <w:lang w:eastAsia="zh-CN"/>
        </w:rPr>
        <w:t>我单位不断深化共青团改革，“强三性”，“去四化”，改进工作作风，</w:t>
      </w:r>
      <w:r>
        <w:rPr>
          <w:rFonts w:hint="eastAsia" w:ascii="Times New Roman" w:hAnsi="Times New Roman" w:cs="Times New Roman"/>
          <w:sz w:val="30"/>
          <w:lang w:eastAsia="zh-CN"/>
        </w:rPr>
        <w:t>开展了“‘团’聚望城”系列活动，依托“雷锋号”青少年关爱家园切实服务全区青少年，工作获得了全区青少年的肯定，社会满意度较高。</w:t>
      </w:r>
    </w:p>
    <w:p>
      <w:pPr>
        <w:spacing w:line="600" w:lineRule="exact"/>
        <w:ind w:firstLine="600" w:firstLineChars="200"/>
        <w:rPr>
          <w:rFonts w:hint="default" w:ascii="Times New Roman" w:hAnsi="Times New Roman" w:eastAsia="黑体" w:cs="Times New Roman"/>
          <w:sz w:val="30"/>
        </w:rPr>
      </w:pPr>
      <w:r>
        <w:rPr>
          <w:rFonts w:hint="eastAsia" w:ascii="Times New Roman" w:hAnsi="Times New Roman" w:eastAsia="黑体" w:cs="Times New Roman"/>
          <w:sz w:val="30"/>
          <w:lang w:eastAsia="zh-CN"/>
        </w:rPr>
        <w:t>六</w:t>
      </w:r>
      <w:r>
        <w:rPr>
          <w:rFonts w:hint="default" w:ascii="Times New Roman" w:hAnsi="Times New Roman" w:eastAsia="黑体" w:cs="Times New Roman"/>
          <w:sz w:val="30"/>
        </w:rPr>
        <w:t>、部门（单位）整体支出绩效中存在问题及改进措施</w:t>
      </w:r>
    </w:p>
    <w:p>
      <w:pPr>
        <w:spacing w:line="600" w:lineRule="exact"/>
        <w:ind w:firstLine="600" w:firstLineChars="200"/>
        <w:rPr>
          <w:rFonts w:hint="default" w:ascii="Times New Roman" w:hAnsi="Times New Roman" w:eastAsia="仿宋_GB2312" w:cs="Times New Roman"/>
          <w:sz w:val="30"/>
        </w:rPr>
      </w:pPr>
      <w:r>
        <w:rPr>
          <w:rFonts w:hint="default" w:ascii="Times New Roman" w:hAnsi="Times New Roman" w:eastAsia="仿宋_GB2312" w:cs="Times New Roman"/>
          <w:sz w:val="30"/>
        </w:rPr>
        <w:t>（一）主要问题及原因分析</w:t>
      </w:r>
    </w:p>
    <w:p>
      <w:pPr>
        <w:spacing w:line="600" w:lineRule="exact"/>
        <w:ind w:firstLine="600" w:firstLineChars="200"/>
        <w:rPr>
          <w:rFonts w:hint="default" w:ascii="Times New Roman" w:hAnsi="Times New Roman" w:eastAsia="仿宋_GB2312" w:cs="Times New Roman"/>
          <w:sz w:val="30"/>
        </w:rPr>
      </w:pPr>
      <w:r>
        <w:rPr>
          <w:rFonts w:hint="default" w:ascii="Times New Roman" w:hAnsi="Times New Roman" w:eastAsia="仿宋_GB2312" w:cs="Times New Roman"/>
          <w:sz w:val="30"/>
        </w:rPr>
        <w:t>1、预算编制工作有待细化。预算编制不够明确和细化，预算编制的合理性需要提高，预算执行力度还要进一步加强。</w:t>
      </w:r>
    </w:p>
    <w:p>
      <w:pPr>
        <w:spacing w:line="600" w:lineRule="exact"/>
        <w:ind w:firstLine="600" w:firstLineChars="200"/>
        <w:rPr>
          <w:rFonts w:hint="default" w:ascii="Times New Roman" w:hAnsi="Times New Roman" w:eastAsia="仿宋_GB2312" w:cs="Times New Roman"/>
          <w:sz w:val="30"/>
        </w:rPr>
      </w:pPr>
      <w:r>
        <w:rPr>
          <w:rFonts w:hint="default" w:ascii="Times New Roman" w:hAnsi="Times New Roman" w:eastAsia="仿宋_GB2312" w:cs="Times New Roman"/>
          <w:sz w:val="30"/>
        </w:rPr>
        <w:t>2、因单位</w:t>
      </w:r>
      <w:r>
        <w:rPr>
          <w:rFonts w:hint="eastAsia" w:ascii="Times New Roman" w:hAnsi="Times New Roman" w:cs="Times New Roman"/>
          <w:sz w:val="30"/>
          <w:lang w:eastAsia="zh-CN"/>
        </w:rPr>
        <w:t>活动较多</w:t>
      </w:r>
      <w:r>
        <w:rPr>
          <w:rFonts w:hint="default" w:ascii="Times New Roman" w:hAnsi="Times New Roman" w:eastAsia="仿宋_GB2312" w:cs="Times New Roman"/>
          <w:sz w:val="30"/>
        </w:rPr>
        <w:t>导致经费不足：</w:t>
      </w:r>
      <w:r>
        <w:rPr>
          <w:rFonts w:hint="eastAsia" w:ascii="Times New Roman" w:hAnsi="Times New Roman" w:cs="Times New Roman"/>
          <w:sz w:val="30"/>
          <w:lang w:eastAsia="zh-CN"/>
        </w:rPr>
        <w:t>全年开展活动较多，项目支出较年初预算有所增加</w:t>
      </w:r>
      <w:r>
        <w:rPr>
          <w:rFonts w:hint="default" w:ascii="Times New Roman" w:hAnsi="Times New Roman" w:eastAsia="仿宋_GB2312" w:cs="Times New Roman"/>
          <w:sz w:val="30"/>
        </w:rPr>
        <w:t>。</w:t>
      </w:r>
    </w:p>
    <w:p>
      <w:pPr>
        <w:spacing w:line="600" w:lineRule="exact"/>
        <w:ind w:firstLine="600" w:firstLineChars="200"/>
        <w:rPr>
          <w:rFonts w:hint="default" w:ascii="Times New Roman" w:hAnsi="Times New Roman" w:eastAsia="仿宋_GB2312" w:cs="Times New Roman"/>
          <w:sz w:val="30"/>
        </w:rPr>
      </w:pPr>
      <w:r>
        <w:rPr>
          <w:rFonts w:hint="default" w:ascii="Times New Roman" w:hAnsi="Times New Roman" w:eastAsia="仿宋_GB2312" w:cs="Times New Roman"/>
          <w:sz w:val="30"/>
        </w:rPr>
        <w:t>3、公用经费控制有一定难度，基本为刚性支出。</w:t>
      </w:r>
    </w:p>
    <w:p>
      <w:pPr>
        <w:spacing w:line="600" w:lineRule="exact"/>
        <w:ind w:firstLine="600" w:firstLineChars="200"/>
        <w:rPr>
          <w:rFonts w:hint="default" w:ascii="Times New Roman" w:hAnsi="Times New Roman" w:eastAsia="仿宋_GB2312" w:cs="Times New Roman"/>
          <w:sz w:val="30"/>
        </w:rPr>
      </w:pPr>
      <w:r>
        <w:rPr>
          <w:rFonts w:hint="default" w:ascii="Times New Roman" w:hAnsi="Times New Roman" w:eastAsia="仿宋_GB2312" w:cs="Times New Roman"/>
          <w:sz w:val="30"/>
        </w:rPr>
        <w:t>（二）改进的方向和具体措施</w:t>
      </w:r>
    </w:p>
    <w:p>
      <w:pPr>
        <w:spacing w:line="600" w:lineRule="exact"/>
        <w:ind w:firstLine="600" w:firstLineChars="200"/>
        <w:rPr>
          <w:rFonts w:hint="default" w:ascii="Times New Roman" w:hAnsi="Times New Roman" w:eastAsia="仿宋_GB2312" w:cs="Times New Roman"/>
          <w:sz w:val="30"/>
        </w:rPr>
      </w:pPr>
      <w:r>
        <w:rPr>
          <w:rFonts w:hint="default" w:ascii="Times New Roman" w:hAnsi="Times New Roman" w:eastAsia="仿宋_GB2312" w:cs="Times New Roman"/>
          <w:sz w:val="30"/>
        </w:rPr>
        <w:t>针对上述存在的问题及对外整体支出管理工作的需要，拟实施的改进措施如下：</w:t>
      </w:r>
    </w:p>
    <w:p>
      <w:pPr>
        <w:spacing w:line="600" w:lineRule="exact"/>
        <w:ind w:firstLine="600" w:firstLineChars="200"/>
        <w:rPr>
          <w:rFonts w:hint="default" w:ascii="Times New Roman" w:hAnsi="Times New Roman" w:eastAsia="仿宋_GB2312" w:cs="Times New Roman"/>
          <w:sz w:val="30"/>
        </w:rPr>
      </w:pPr>
      <w:r>
        <w:rPr>
          <w:rFonts w:hint="default" w:ascii="Times New Roman" w:hAnsi="Times New Roman" w:eastAsia="仿宋_GB2312" w:cs="Times New Roman"/>
          <w:sz w:val="30"/>
        </w:rPr>
        <w:t>1、细化预算编制工作，认真做好预算的编制。进一步加强单位内部机构各股室的预算管理意识，严格按照预算编制的相关制度和要求进行预算编制；全面编制预算项目，优先保障固定性的、相对刚性的费用支出项目，尽量压缩变动性的、有控制空间的费用项目，进一步提高预算编制的科学性、严谨性和可控性。加强内部预算编制的审核和预算控制指标的下达。</w:t>
      </w:r>
    </w:p>
    <w:p>
      <w:pPr>
        <w:spacing w:line="600" w:lineRule="exact"/>
        <w:ind w:firstLine="600" w:firstLineChars="200"/>
        <w:rPr>
          <w:rFonts w:hint="default" w:ascii="Times New Roman" w:hAnsi="Times New Roman" w:eastAsia="仿宋_GB2312" w:cs="Times New Roman"/>
          <w:sz w:val="30"/>
        </w:rPr>
      </w:pPr>
      <w:r>
        <w:rPr>
          <w:rFonts w:hint="default" w:ascii="Times New Roman" w:hAnsi="Times New Roman" w:eastAsia="仿宋_GB2312" w:cs="Times New Roman"/>
          <w:sz w:val="30"/>
        </w:rPr>
        <w:t>2、加强财务管理，严格财务审核。加强单位财务管理，健全单位财务管理制度体系，规范单位财务行为。在费用报账支付时，按照预算规定的费用项目和用途进行资金使用审核、列报支付、财务核算，杜绝超支现象的发生。</w:t>
      </w:r>
    </w:p>
    <w:p>
      <w:pPr>
        <w:spacing w:line="600" w:lineRule="exact"/>
        <w:ind w:firstLine="600" w:firstLineChars="200"/>
        <w:rPr>
          <w:rFonts w:hint="default" w:ascii="Times New Roman" w:hAnsi="Times New Roman" w:eastAsia="仿宋_GB2312" w:cs="Times New Roman"/>
          <w:sz w:val="30"/>
        </w:rPr>
      </w:pPr>
      <w:r>
        <w:rPr>
          <w:rFonts w:hint="default" w:ascii="Times New Roman" w:hAnsi="Times New Roman" w:eastAsia="仿宋_GB2312" w:cs="Times New Roman"/>
          <w:sz w:val="30"/>
        </w:rPr>
        <w:t>3、完善资产管理，抓好经费控制。严格编制政府采购年初预算和计划，规范各类资产的购置审批制度、资产出租出借和收入管理制度、资产采购制度、使用管理制度、资产处置和报废审批制度、资产管理岗位职责制度等，加强单位内部的资产管理工作。进一步细化</w:t>
      </w:r>
      <w:r>
        <w:rPr>
          <w:rFonts w:hint="eastAsia" w:ascii="Times New Roman" w:hAnsi="Times New Roman" w:cs="Times New Roman"/>
          <w:sz w:val="30"/>
          <w:lang w:eastAsia="zh-CN"/>
        </w:rPr>
        <w:t>项目支出</w:t>
      </w:r>
      <w:r>
        <w:rPr>
          <w:rFonts w:hint="default" w:ascii="Times New Roman" w:hAnsi="Times New Roman" w:eastAsia="仿宋_GB2312" w:cs="Times New Roman"/>
          <w:sz w:val="30"/>
        </w:rPr>
        <w:t>的管理，合理压缩</w:t>
      </w:r>
      <w:r>
        <w:rPr>
          <w:rFonts w:hint="eastAsia" w:ascii="Times New Roman" w:hAnsi="Times New Roman" w:cs="Times New Roman"/>
          <w:sz w:val="30"/>
          <w:lang w:eastAsia="zh-CN"/>
        </w:rPr>
        <w:t>项目</w:t>
      </w:r>
      <w:r>
        <w:rPr>
          <w:rFonts w:hint="default" w:ascii="Times New Roman" w:hAnsi="Times New Roman" w:eastAsia="仿宋_GB2312" w:cs="Times New Roman"/>
          <w:sz w:val="30"/>
        </w:rPr>
        <w:t>支出。</w:t>
      </w:r>
    </w:p>
    <w:p>
      <w:pPr>
        <w:spacing w:line="600" w:lineRule="exact"/>
        <w:ind w:firstLine="600" w:firstLineChars="200"/>
        <w:rPr>
          <w:rFonts w:hint="default" w:ascii="Times New Roman" w:hAnsi="Times New Roman" w:eastAsia="仿宋_GB2312" w:cs="Times New Roman"/>
          <w:sz w:val="30"/>
        </w:rPr>
      </w:pPr>
      <w:r>
        <w:rPr>
          <w:rFonts w:hint="default" w:ascii="Times New Roman" w:hAnsi="Times New Roman" w:eastAsia="仿宋_GB2312" w:cs="Times New Roman"/>
          <w:sz w:val="30"/>
        </w:rPr>
        <w:t>4、对相关人员加强培训，特别是针对《预算法》《行政事业单位会计制度》等学习培训，规范部门预算收支核算，切实提高部门预算收支管理水平。</w:t>
      </w:r>
    </w:p>
    <w:p>
      <w:pPr>
        <w:spacing w:line="600" w:lineRule="exact"/>
        <w:ind w:firstLine="600" w:firstLineChars="200"/>
        <w:rPr>
          <w:rFonts w:hint="default" w:ascii="Times New Roman" w:hAnsi="Times New Roman" w:eastAsia="黑体" w:cs="Times New Roman"/>
          <w:sz w:val="30"/>
        </w:rPr>
      </w:pPr>
      <w:r>
        <w:rPr>
          <w:rFonts w:hint="default" w:ascii="Times New Roman" w:hAnsi="Times New Roman" w:eastAsia="黑体" w:cs="Times New Roman"/>
          <w:sz w:val="30"/>
        </w:rPr>
        <w:t>七、其它需要说明的情况</w:t>
      </w:r>
    </w:p>
    <w:p>
      <w:pPr>
        <w:spacing w:line="600" w:lineRule="exact"/>
        <w:ind w:firstLine="600" w:firstLineChars="200"/>
      </w:pPr>
      <w:r>
        <w:rPr>
          <w:rFonts w:hint="eastAsia" w:ascii="Times New Roman" w:hAnsi="Times New Roman" w:eastAsia="仿宋_GB2312" w:cs="Times New Roman"/>
          <w:sz w:val="30"/>
          <w:lang w:eastAsia="zh-CN"/>
        </w:rPr>
        <w:t>无</w:t>
      </w:r>
      <w:r>
        <w:rPr>
          <w:rFonts w:hint="eastAsia" w:ascii="Times New Roman" w:hAnsi="Times New Roman" w:cs="Times New Roman"/>
          <w:sz w:val="30"/>
          <w:lang w:eastAsia="zh-CN"/>
        </w:rPr>
        <w:t>。</w:t>
      </w:r>
    </w:p>
    <w:sectPr>
      <w:pgSz w:w="11906" w:h="16838"/>
      <w:pgMar w:top="2041"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4B2C639"/>
    <w:multiLevelType w:val="singleLevel"/>
    <w:tmpl w:val="94B2C639"/>
    <w:lvl w:ilvl="0" w:tentative="0">
      <w:start w:val="1"/>
      <w:numFmt w:val="chineseCounting"/>
      <w:suff w:val="nothing"/>
      <w:lvlText w:val="%1、"/>
      <w:lvlJc w:val="left"/>
      <w:rPr>
        <w:rFonts w:hint="eastAsia"/>
      </w:rPr>
    </w:lvl>
  </w:abstractNum>
  <w:abstractNum w:abstractNumId="1">
    <w:nsid w:val="C3AFBDC7"/>
    <w:multiLevelType w:val="singleLevel"/>
    <w:tmpl w:val="C3AFBDC7"/>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C121AE"/>
    <w:rsid w:val="02C121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80" w:lineRule="exact"/>
      <w:jc w:val="both"/>
    </w:pPr>
    <w:rPr>
      <w:rFonts w:ascii="仿宋_GB2312" w:hAnsi="Calibri" w:eastAsia="仿宋_GB2312" w:cs="Times New Roman"/>
      <w:kern w:val="2"/>
      <w:sz w:val="32"/>
      <w:szCs w:val="3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2020-05-20T08:44:00Z</dcterms:created>
  <dc:creator>裕天</dc:creator>
  <cp:lastModifiedBy>裕天</cp:lastModifiedBy>
  <dcterms:modified xsi:type="dcterms:W3CDTF">2020-05-20T12:05:56Z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