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210"/>
        <w:gridCol w:w="400"/>
        <w:gridCol w:w="500"/>
        <w:gridCol w:w="800"/>
        <w:gridCol w:w="800"/>
        <w:gridCol w:w="1251"/>
        <w:gridCol w:w="283"/>
        <w:gridCol w:w="329"/>
        <w:gridCol w:w="513"/>
        <w:gridCol w:w="718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6"/>
                <w:szCs w:val="36"/>
              </w:rPr>
              <w:t>2019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eastAsia="zh-CN"/>
              </w:rPr>
              <w:t>度农村改厕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专项资金绩效评价自评表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农村改厕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望城区城市管理和综合执法局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区各乡镇（街道）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4193.70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1751.70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2442（上级财政资金）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6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8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6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完成市级目标任务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5000座</w:t>
            </w:r>
          </w:p>
        </w:tc>
        <w:tc>
          <w:tcPr>
            <w:tcW w:w="38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完成市定任务2200座，省追加任务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座，共计12200座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农村户用卫生厕所改（新）建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25433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符合全国爱卫办制定的《农村改厕管理办法》及《农村改厕技术规范》要求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经省、市以及本单位抽检合格率达到上级要求，合格率90%。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本年度内完成任务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及时到位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三格式1600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元/座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，四格式厕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2200元/座，室内改造400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元/座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按标准执行到位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改厕是一项健康投资，既可以预防和降低有关疾病的发生。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据统计，使用无害化卫生厕所，每年可减少个人医药费支出5.40元，还能提供优质高效有机肥，提高农作物的产量。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提高群众环境卫生保护意识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提高群众环境卫生保护意识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改厕可以减轻水源污染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减少臭气浓度80％，降低苍蝇密度96％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逐步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提高农村无害化厕所普及率，改善农村生产生活条件，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解决农村生活污水处理问题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提高广大群众生活品质，推进城乡一体化发展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到20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年，全市农村无害化厕所达到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%以上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实行农村改厕的村民对项目的满意率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0%</w:t>
            </w:r>
          </w:p>
        </w:tc>
        <w:tc>
          <w:tcPr>
            <w:tcW w:w="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81C7B"/>
    <w:rsid w:val="24724D69"/>
    <w:rsid w:val="30BF28AA"/>
    <w:rsid w:val="52E91F6F"/>
    <w:rsid w:val="67177AB5"/>
    <w:rsid w:val="6AE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ミ﹏旋轉朩馬</cp:lastModifiedBy>
  <cp:lastPrinted>2020-04-09T07:32:22Z</cp:lastPrinted>
  <dcterms:modified xsi:type="dcterms:W3CDTF">2020-04-09T07:32:30Z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