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hAnsi="方正小标宋_GBK" w:eastAsia="方正小标宋_GBK" w:cs="方正小标宋_GBK"/>
          <w:spacing w:val="-4"/>
          <w:sz w:val="48"/>
          <w:szCs w:val="48"/>
        </w:rPr>
      </w:pPr>
      <w:r>
        <w:rPr>
          <w:rFonts w:hint="eastAsia" w:ascii="方正小标宋_GBK" w:hAnsi="方正小标宋_GBK" w:eastAsia="方正小标宋_GBK" w:cs="方正小标宋_GBK"/>
          <w:spacing w:val="-4"/>
          <w:sz w:val="48"/>
          <w:szCs w:val="48"/>
        </w:rPr>
        <w:t>长沙市望城区2019年度财政支出</w:t>
      </w:r>
    </w:p>
    <w:p>
      <w:pPr>
        <w:spacing w:line="700" w:lineRule="exact"/>
        <w:jc w:val="center"/>
        <w:rPr>
          <w:rFonts w:ascii="方正小标宋_GBK" w:hAnsi="方正小标宋_GBK" w:eastAsia="方正小标宋_GBK" w:cs="方正小标宋_GBK"/>
          <w:spacing w:val="-4"/>
          <w:sz w:val="48"/>
          <w:szCs w:val="48"/>
        </w:rPr>
      </w:pPr>
      <w:r>
        <w:rPr>
          <w:rFonts w:hint="eastAsia" w:ascii="方正小标宋_GBK" w:hAnsi="方正小标宋_GBK" w:eastAsia="方正小标宋_GBK" w:cs="方正小标宋_GBK"/>
          <w:spacing w:val="-4"/>
          <w:sz w:val="48"/>
          <w:szCs w:val="48"/>
        </w:rPr>
        <w:t>重点绩效评价报告</w:t>
      </w:r>
    </w:p>
    <w:p>
      <w:pPr>
        <w:rPr>
          <w:rFonts w:ascii="仿宋" w:hAnsi="仿宋" w:eastAsia="仿宋"/>
          <w:spacing w:val="-4"/>
          <w:sz w:val="32"/>
          <w:szCs w:val="32"/>
        </w:rPr>
      </w:pPr>
    </w:p>
    <w:p>
      <w:pPr>
        <w:rPr>
          <w:rFonts w:ascii="仿宋" w:hAnsi="仿宋" w:eastAsia="仿宋"/>
          <w:spacing w:val="-4"/>
          <w:sz w:val="32"/>
          <w:szCs w:val="32"/>
        </w:rPr>
      </w:pPr>
    </w:p>
    <w:p>
      <w:pPr>
        <w:rPr>
          <w:rFonts w:ascii="仿宋" w:hAnsi="仿宋" w:eastAsia="仿宋"/>
          <w:spacing w:val="-4"/>
          <w:sz w:val="32"/>
          <w:szCs w:val="32"/>
        </w:rPr>
      </w:pPr>
    </w:p>
    <w:p>
      <w:pPr>
        <w:rPr>
          <w:rFonts w:ascii="仿宋" w:hAnsi="仿宋" w:eastAsia="仿宋"/>
          <w:spacing w:val="-4"/>
          <w:sz w:val="32"/>
          <w:szCs w:val="32"/>
        </w:rPr>
      </w:pPr>
    </w:p>
    <w:p>
      <w:pPr>
        <w:rPr>
          <w:rFonts w:ascii="仿宋" w:hAnsi="仿宋" w:eastAsia="仿宋"/>
          <w:spacing w:val="-4"/>
          <w:sz w:val="32"/>
          <w:szCs w:val="32"/>
        </w:rPr>
      </w:pPr>
    </w:p>
    <w:tbl>
      <w:tblPr>
        <w:tblStyle w:val="8"/>
        <w:tblW w:w="73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6"/>
        <w:gridCol w:w="4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2366" w:type="dxa"/>
            <w:tcBorders>
              <w:tl2br w:val="nil"/>
              <w:tr2bl w:val="nil"/>
            </w:tcBorders>
            <w:vAlign w:val="center"/>
          </w:tcPr>
          <w:p>
            <w:pPr>
              <w:rPr>
                <w:rFonts w:ascii="仿宋" w:hAnsi="仿宋" w:eastAsia="仿宋"/>
                <w:spacing w:val="-4"/>
                <w:sz w:val="32"/>
                <w:szCs w:val="32"/>
              </w:rPr>
            </w:pPr>
            <w:r>
              <w:rPr>
                <w:rFonts w:hint="eastAsia" w:ascii="仿宋" w:hAnsi="仿宋" w:eastAsia="仿宋"/>
                <w:spacing w:val="-4"/>
                <w:sz w:val="32"/>
                <w:szCs w:val="32"/>
              </w:rPr>
              <w:t>评价项目名称：</w:t>
            </w:r>
          </w:p>
        </w:tc>
        <w:tc>
          <w:tcPr>
            <w:tcW w:w="4984" w:type="dxa"/>
            <w:tcBorders>
              <w:bottom w:val="single" w:color="auto" w:sz="4" w:space="0"/>
            </w:tcBorders>
            <w:vAlign w:val="center"/>
          </w:tcPr>
          <w:p>
            <w:pPr>
              <w:spacing w:line="320" w:lineRule="exact"/>
              <w:jc w:val="center"/>
              <w:rPr>
                <w:rFonts w:ascii="仿宋" w:hAnsi="仿宋" w:eastAsia="仿宋"/>
                <w:spacing w:val="-4"/>
                <w:sz w:val="30"/>
                <w:szCs w:val="30"/>
              </w:rPr>
            </w:pPr>
            <w:r>
              <w:rPr>
                <w:rFonts w:hint="eastAsia" w:ascii="仿宋" w:hAnsi="仿宋" w:eastAsia="仿宋"/>
                <w:spacing w:val="-4"/>
                <w:sz w:val="30"/>
                <w:szCs w:val="30"/>
              </w:rPr>
              <w:t>望城区公共路灯电费及维护项目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2366" w:type="dxa"/>
            <w:tcBorders>
              <w:tl2br w:val="nil"/>
              <w:tr2bl w:val="nil"/>
            </w:tcBorders>
            <w:vAlign w:val="center"/>
          </w:tcPr>
          <w:p>
            <w:pPr>
              <w:rPr>
                <w:rFonts w:ascii="仿宋" w:hAnsi="仿宋" w:eastAsia="仿宋"/>
                <w:spacing w:val="-4"/>
                <w:sz w:val="32"/>
                <w:szCs w:val="32"/>
              </w:rPr>
            </w:pPr>
            <w:r>
              <w:rPr>
                <w:rFonts w:hint="eastAsia" w:ascii="仿宋" w:hAnsi="仿宋" w:eastAsia="仿宋"/>
                <w:spacing w:val="-4"/>
                <w:sz w:val="32"/>
                <w:szCs w:val="32"/>
              </w:rPr>
              <w:t>项目主管部门：</w:t>
            </w:r>
          </w:p>
        </w:tc>
        <w:tc>
          <w:tcPr>
            <w:tcW w:w="4984" w:type="dxa"/>
            <w:tcBorders>
              <w:top w:val="single" w:color="auto" w:sz="4" w:space="0"/>
              <w:bottom w:val="single" w:color="auto" w:sz="4" w:space="0"/>
            </w:tcBorders>
            <w:vAlign w:val="center"/>
          </w:tcPr>
          <w:p>
            <w:pPr>
              <w:spacing w:line="320" w:lineRule="exact"/>
              <w:jc w:val="center"/>
              <w:rPr>
                <w:rFonts w:ascii="仿宋" w:hAnsi="仿宋" w:eastAsia="仿宋"/>
                <w:spacing w:val="-4"/>
                <w:sz w:val="30"/>
                <w:szCs w:val="30"/>
              </w:rPr>
            </w:pPr>
            <w:r>
              <w:rPr>
                <w:rFonts w:hint="eastAsia" w:ascii="仿宋" w:hAnsi="仿宋" w:eastAsia="仿宋"/>
                <w:spacing w:val="-4"/>
                <w:sz w:val="30"/>
                <w:szCs w:val="30"/>
              </w:rPr>
              <w:t>长沙市望城区城市管理与综合执法局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2366" w:type="dxa"/>
            <w:tcBorders>
              <w:tl2br w:val="nil"/>
              <w:tr2bl w:val="nil"/>
            </w:tcBorders>
            <w:vAlign w:val="center"/>
          </w:tcPr>
          <w:p>
            <w:pPr>
              <w:rPr>
                <w:rFonts w:ascii="仿宋" w:hAnsi="仿宋" w:eastAsia="仿宋"/>
                <w:spacing w:val="-4"/>
                <w:sz w:val="32"/>
                <w:szCs w:val="32"/>
              </w:rPr>
            </w:pPr>
            <w:r>
              <w:rPr>
                <w:rFonts w:hint="eastAsia" w:ascii="仿宋" w:hAnsi="仿宋" w:eastAsia="仿宋"/>
                <w:spacing w:val="102"/>
                <w:sz w:val="32"/>
                <w:szCs w:val="32"/>
              </w:rPr>
              <w:t>评价机</w:t>
            </w:r>
            <w:r>
              <w:rPr>
                <w:rFonts w:hint="eastAsia" w:ascii="仿宋" w:hAnsi="仿宋" w:eastAsia="仿宋"/>
                <w:sz w:val="32"/>
                <w:szCs w:val="32"/>
              </w:rPr>
              <w:t>构：</w:t>
            </w:r>
          </w:p>
        </w:tc>
        <w:tc>
          <w:tcPr>
            <w:tcW w:w="4984" w:type="dxa"/>
            <w:tcBorders>
              <w:top w:val="single" w:color="auto" w:sz="4" w:space="0"/>
              <w:bottom w:val="single" w:color="auto" w:sz="4" w:space="0"/>
            </w:tcBorders>
            <w:vAlign w:val="center"/>
          </w:tcPr>
          <w:p>
            <w:pPr>
              <w:spacing w:line="320" w:lineRule="exact"/>
              <w:jc w:val="center"/>
              <w:rPr>
                <w:rFonts w:ascii="仿宋" w:hAnsi="仿宋" w:eastAsia="仿宋"/>
                <w:spacing w:val="-4"/>
                <w:sz w:val="30"/>
                <w:szCs w:val="30"/>
              </w:rPr>
            </w:pPr>
            <w:r>
              <w:rPr>
                <w:rFonts w:hint="eastAsia" w:ascii="仿宋" w:hAnsi="仿宋" w:eastAsia="仿宋"/>
                <w:spacing w:val="-4"/>
                <w:sz w:val="30"/>
                <w:szCs w:val="30"/>
              </w:rPr>
              <w:t>湖南华辉会计师事务所有限责任公司</w:t>
            </w:r>
          </w:p>
        </w:tc>
      </w:tr>
    </w:tbl>
    <w:p>
      <w:pPr>
        <w:rPr>
          <w:rFonts w:ascii="仿宋" w:hAnsi="仿宋" w:eastAsia="仿宋"/>
          <w:spacing w:val="-4"/>
          <w:sz w:val="32"/>
          <w:szCs w:val="32"/>
        </w:rPr>
      </w:pPr>
    </w:p>
    <w:p>
      <w:pPr>
        <w:rPr>
          <w:rFonts w:ascii="仿宋" w:hAnsi="仿宋" w:eastAsia="仿宋"/>
          <w:spacing w:val="-4"/>
          <w:sz w:val="32"/>
          <w:szCs w:val="32"/>
        </w:rPr>
      </w:pPr>
    </w:p>
    <w:p>
      <w:pPr>
        <w:rPr>
          <w:rFonts w:ascii="仿宋" w:hAnsi="仿宋" w:eastAsia="仿宋"/>
          <w:spacing w:val="-4"/>
          <w:sz w:val="32"/>
          <w:szCs w:val="32"/>
        </w:rPr>
      </w:pPr>
    </w:p>
    <w:p>
      <w:pPr>
        <w:rPr>
          <w:rFonts w:ascii="仿宋" w:hAnsi="仿宋" w:eastAsia="仿宋"/>
          <w:spacing w:val="-4"/>
          <w:sz w:val="32"/>
          <w:szCs w:val="32"/>
        </w:rPr>
      </w:pPr>
    </w:p>
    <w:p>
      <w:pPr>
        <w:jc w:val="center"/>
        <w:rPr>
          <w:rFonts w:ascii="仿宋" w:hAnsi="仿宋" w:eastAsia="仿宋"/>
          <w:spacing w:val="-4"/>
          <w:sz w:val="32"/>
          <w:szCs w:val="32"/>
        </w:rPr>
      </w:pPr>
      <w:r>
        <w:rPr>
          <w:rFonts w:hint="eastAsia" w:ascii="仿宋" w:hAnsi="仿宋" w:eastAsia="仿宋"/>
          <w:spacing w:val="-4"/>
          <w:sz w:val="32"/>
          <w:szCs w:val="32"/>
        </w:rPr>
        <w:t>报告日期：2020年6月15日</w:t>
      </w:r>
    </w:p>
    <w:p>
      <w:pPr>
        <w:spacing w:line="560" w:lineRule="exact"/>
        <w:jc w:val="center"/>
        <w:rPr>
          <w:rFonts w:ascii="Times New Roman" w:hAnsi="Times New Roman" w:eastAsia="方正小标宋_GBK" w:cs="Times New Roman"/>
          <w:sz w:val="36"/>
          <w:szCs w:val="36"/>
        </w:rPr>
      </w:pPr>
    </w:p>
    <w:p>
      <w:pPr>
        <w:spacing w:line="560" w:lineRule="exact"/>
        <w:jc w:val="center"/>
        <w:rPr>
          <w:rFonts w:ascii="Times New Roman" w:hAnsi="Times New Roman" w:eastAsia="方正小标宋_GBK" w:cs="Times New Roman"/>
          <w:sz w:val="36"/>
          <w:szCs w:val="36"/>
        </w:rPr>
      </w:pPr>
    </w:p>
    <w:p>
      <w:pPr>
        <w:spacing w:line="560" w:lineRule="exact"/>
        <w:jc w:val="center"/>
        <w:rPr>
          <w:rFonts w:ascii="Times New Roman" w:hAnsi="Times New Roman" w:eastAsia="方正小标宋_GBK" w:cs="Times New Roman"/>
          <w:sz w:val="36"/>
          <w:szCs w:val="36"/>
        </w:rPr>
      </w:pPr>
    </w:p>
    <w:p>
      <w:pPr>
        <w:spacing w:line="560" w:lineRule="exact"/>
        <w:jc w:val="center"/>
        <w:rPr>
          <w:rFonts w:ascii="Times New Roman" w:hAnsi="Times New Roman" w:eastAsia="方正小标宋_GBK" w:cs="Times New Roman"/>
          <w:sz w:val="36"/>
          <w:szCs w:val="36"/>
        </w:rPr>
      </w:pPr>
    </w:p>
    <w:p>
      <w:pPr>
        <w:spacing w:line="360" w:lineRule="exact"/>
        <w:rPr>
          <w:rFonts w:eastAsia="黑体"/>
          <w:kern w:val="0"/>
          <w:sz w:val="32"/>
          <w:szCs w:val="32"/>
        </w:rPr>
      </w:pPr>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2019年望城区公共路灯电费及维护</w:t>
      </w:r>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项目</w:t>
      </w:r>
      <w:r>
        <w:rPr>
          <w:rFonts w:ascii="Times New Roman" w:hAnsi="Times New Roman" w:eastAsia="方正小标宋_GBK" w:cs="Times New Roman"/>
          <w:sz w:val="36"/>
          <w:szCs w:val="36"/>
        </w:rPr>
        <w:t>支出绩效</w:t>
      </w:r>
      <w:r>
        <w:rPr>
          <w:rFonts w:hint="eastAsia" w:ascii="Times New Roman" w:hAnsi="Times New Roman" w:eastAsia="方正小标宋_GBK" w:cs="Times New Roman"/>
          <w:sz w:val="36"/>
          <w:szCs w:val="36"/>
        </w:rPr>
        <w:t>评价</w:t>
      </w:r>
      <w:r>
        <w:rPr>
          <w:rFonts w:ascii="Times New Roman" w:hAnsi="Times New Roman" w:eastAsia="方正小标宋_GBK" w:cs="Times New Roman"/>
          <w:sz w:val="36"/>
          <w:szCs w:val="36"/>
        </w:rPr>
        <w:t>报告</w:t>
      </w:r>
    </w:p>
    <w:p>
      <w:pPr>
        <w:spacing w:line="560" w:lineRule="exact"/>
        <w:jc w:val="center"/>
        <w:rPr>
          <w:rFonts w:ascii="Times New Roman" w:hAnsi="Times New Roman" w:eastAsia="方正小标宋_GBK" w:cs="Times New Roman"/>
          <w:sz w:val="36"/>
          <w:szCs w:val="36"/>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中共中央国务院关于全面实施预算绩效管理的意见》(中发〔2018〕34号)和《中共湖南省委办公厅湖南省人民政府办公厅全面实施预算绩效管理的实施意见》(湘办发〔2019〕10号)和长沙市望城区财政局《关于开展 2019 年度区级财政预算绩效自评工作的通知》（望财绩〔2020〕5 号）等文件要求，本所绩效评价工作小组于2020年5月对长沙市望城区城市管理与综合执法局（以下简称“城管执法局”）主管的2019年望城区公共路灯电费及维护项目实施了绩效评价。现将有关情况报告如下：</w:t>
      </w:r>
    </w:p>
    <w:p>
      <w:pPr>
        <w:spacing w:line="600" w:lineRule="exact"/>
        <w:ind w:firstLine="640" w:firstLineChars="200"/>
        <w:rPr>
          <w:rFonts w:eastAsia="黑体"/>
          <w:sz w:val="32"/>
          <w:szCs w:val="32"/>
        </w:rPr>
      </w:pPr>
      <w:r>
        <w:rPr>
          <w:rFonts w:eastAsia="黑体"/>
          <w:sz w:val="32"/>
          <w:szCs w:val="32"/>
        </w:rPr>
        <w:t>一、预算支出基本情况</w:t>
      </w:r>
    </w:p>
    <w:p>
      <w:pPr>
        <w:numPr>
          <w:ilvl w:val="0"/>
          <w:numId w:val="1"/>
        </w:numPr>
        <w:adjustRightInd w:val="0"/>
        <w:snapToGrid w:val="0"/>
        <w:spacing w:line="360" w:lineRule="auto"/>
        <w:ind w:firstLine="643" w:firstLineChars="200"/>
        <w:rPr>
          <w:rFonts w:eastAsia="楷体_GB2312"/>
          <w:b/>
          <w:sz w:val="32"/>
          <w:szCs w:val="32"/>
        </w:rPr>
      </w:pPr>
      <w:r>
        <w:rPr>
          <w:rFonts w:eastAsia="楷体_GB2312"/>
          <w:b/>
          <w:sz w:val="32"/>
          <w:szCs w:val="32"/>
        </w:rPr>
        <w:t>预算支出概况</w:t>
      </w:r>
    </w:p>
    <w:p>
      <w:pPr>
        <w:adjustRightInd w:val="0"/>
        <w:snapToGrid w:val="0"/>
        <w:spacing w:line="360" w:lineRule="auto"/>
        <w:ind w:left="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1.项目立项依据</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了加强城市照明管理，促进能源节约，改善城市照明环境，根据中华人民共和国住房和城乡建设部令第4号令《城市照明管理规定》、望城区区长办公会议纪要〔2016〕44号文件，明确城管执法局负责本行政区域内城市照明管理的具体工作。</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项目主要内容</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公共路灯电费及维护项目具体包括支付区财政统筹的路灯电费及区内已移交路灯设施的维护费两项内容，路灯电费系据实结算，维修费为500万元/年包干，两项内容均指定由区路灯管理所负责实施，资金由城管执法局据实与区路灯管理所结算。</w:t>
      </w:r>
    </w:p>
    <w:p>
      <w:pPr>
        <w:spacing w:line="600" w:lineRule="exact"/>
        <w:ind w:firstLine="643" w:firstLineChars="200"/>
        <w:rPr>
          <w:rFonts w:eastAsia="楷体_GB2312"/>
          <w:b/>
          <w:sz w:val="32"/>
          <w:szCs w:val="32"/>
        </w:rPr>
      </w:pPr>
      <w:r>
        <w:rPr>
          <w:rFonts w:eastAsia="楷体_GB2312"/>
          <w:b/>
          <w:sz w:val="32"/>
          <w:szCs w:val="32"/>
        </w:rPr>
        <w:t>（二）预算资金使用管理情况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项目资金</w:t>
      </w:r>
      <w:r>
        <w:rPr>
          <w:rFonts w:hint="eastAsia" w:ascii="Times New Roman" w:hAnsi="Times New Roman" w:eastAsia="仿宋_GB2312" w:cs="Times New Roman"/>
          <w:sz w:val="32"/>
          <w:szCs w:val="32"/>
        </w:rPr>
        <w:t>情况</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2019年公共路灯电费及维护项目预算安排2500万元，其中路灯电费2000万元、路灯维护500万元。2019年实际财政下达2,791.68万元，下达资金已全额拨付至区路灯管理所, 其中路灯电费2,632.68万元、路灯维修159.00万元。具体资金使用见下表：</w:t>
      </w:r>
    </w:p>
    <w:p>
      <w:pPr>
        <w:tabs>
          <w:tab w:val="left" w:pos="1560"/>
        </w:tabs>
        <w:spacing w:line="360" w:lineRule="auto"/>
        <w:jc w:val="center"/>
        <w:rPr>
          <w:rFonts w:cs="仿宋" w:asciiTheme="minorEastAsia" w:hAnsiTheme="minorEastAsia"/>
          <w:bCs/>
          <w:sz w:val="32"/>
          <w:szCs w:val="32"/>
        </w:rPr>
      </w:pPr>
      <w:r>
        <w:rPr>
          <w:rFonts w:hint="eastAsia" w:cs="仿宋" w:asciiTheme="minorEastAsia" w:hAnsiTheme="minorEastAsia"/>
          <w:bCs/>
          <w:sz w:val="28"/>
          <w:szCs w:val="28"/>
        </w:rPr>
        <w:t>2019年城管执法局公共路灯电费及维护支出明细表</w:t>
      </w:r>
    </w:p>
    <w:p>
      <w:pPr>
        <w:tabs>
          <w:tab w:val="left" w:pos="1560"/>
        </w:tabs>
        <w:ind w:firstLine="480" w:firstLineChars="200"/>
        <w:jc w:val="righ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单位：元</w:t>
      </w:r>
    </w:p>
    <w:tbl>
      <w:tblPr>
        <w:tblStyle w:val="7"/>
        <w:tblW w:w="7211" w:type="dxa"/>
        <w:jc w:val="center"/>
        <w:tblLayout w:type="fixed"/>
        <w:tblCellMar>
          <w:top w:w="0" w:type="dxa"/>
          <w:left w:w="108" w:type="dxa"/>
          <w:bottom w:w="0" w:type="dxa"/>
          <w:right w:w="108" w:type="dxa"/>
        </w:tblCellMar>
      </w:tblPr>
      <w:tblGrid>
        <w:gridCol w:w="1347"/>
        <w:gridCol w:w="2928"/>
        <w:gridCol w:w="2936"/>
      </w:tblGrid>
      <w:tr>
        <w:tblPrEx>
          <w:tblCellMar>
            <w:top w:w="0" w:type="dxa"/>
            <w:left w:w="108" w:type="dxa"/>
            <w:bottom w:w="0" w:type="dxa"/>
            <w:right w:w="108" w:type="dxa"/>
          </w:tblCellMar>
        </w:tblPrEx>
        <w:trPr>
          <w:trHeight w:val="331" w:hRule="atLeast"/>
          <w:jc w:val="center"/>
        </w:trPr>
        <w:tc>
          <w:tcPr>
            <w:tcW w:w="134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项目</w:t>
            </w:r>
          </w:p>
        </w:tc>
        <w:tc>
          <w:tcPr>
            <w:tcW w:w="29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支出内容</w:t>
            </w:r>
          </w:p>
        </w:tc>
        <w:tc>
          <w:tcPr>
            <w:tcW w:w="2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实际支出金额 </w:t>
            </w:r>
          </w:p>
        </w:tc>
      </w:tr>
      <w:tr>
        <w:tblPrEx>
          <w:tblCellMar>
            <w:top w:w="0" w:type="dxa"/>
            <w:left w:w="108" w:type="dxa"/>
            <w:bottom w:w="0" w:type="dxa"/>
            <w:right w:w="108" w:type="dxa"/>
          </w:tblCellMar>
        </w:tblPrEx>
        <w:trPr>
          <w:trHeight w:val="331" w:hRule="atLeast"/>
          <w:jc w:val="center"/>
        </w:trPr>
        <w:tc>
          <w:tcPr>
            <w:tcW w:w="13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路灯电费</w:t>
            </w:r>
          </w:p>
        </w:tc>
        <w:tc>
          <w:tcPr>
            <w:tcW w:w="2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18年三季度路灯电费</w:t>
            </w:r>
          </w:p>
        </w:tc>
        <w:tc>
          <w:tcPr>
            <w:tcW w:w="2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3,884,740.00 </w:t>
            </w:r>
          </w:p>
        </w:tc>
      </w:tr>
      <w:tr>
        <w:tblPrEx>
          <w:tblCellMar>
            <w:top w:w="0" w:type="dxa"/>
            <w:left w:w="108" w:type="dxa"/>
            <w:bottom w:w="0" w:type="dxa"/>
            <w:right w:w="108" w:type="dxa"/>
          </w:tblCellMar>
        </w:tblPrEx>
        <w:trPr>
          <w:trHeight w:val="331" w:hRule="atLeast"/>
          <w:jc w:val="center"/>
        </w:trPr>
        <w:tc>
          <w:tcPr>
            <w:tcW w:w="13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2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18年四季度路灯电费</w:t>
            </w:r>
          </w:p>
        </w:tc>
        <w:tc>
          <w:tcPr>
            <w:tcW w:w="2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4,795,384.00 </w:t>
            </w:r>
          </w:p>
        </w:tc>
      </w:tr>
      <w:tr>
        <w:tblPrEx>
          <w:tblCellMar>
            <w:top w:w="0" w:type="dxa"/>
            <w:left w:w="108" w:type="dxa"/>
            <w:bottom w:w="0" w:type="dxa"/>
            <w:right w:w="108" w:type="dxa"/>
          </w:tblCellMar>
        </w:tblPrEx>
        <w:trPr>
          <w:trHeight w:val="331" w:hRule="atLeast"/>
          <w:jc w:val="center"/>
        </w:trPr>
        <w:tc>
          <w:tcPr>
            <w:tcW w:w="13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2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19年一季度路灯电费</w:t>
            </w:r>
          </w:p>
        </w:tc>
        <w:tc>
          <w:tcPr>
            <w:tcW w:w="2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6,484,857.39 </w:t>
            </w:r>
          </w:p>
        </w:tc>
      </w:tr>
      <w:tr>
        <w:tblPrEx>
          <w:tblCellMar>
            <w:top w:w="0" w:type="dxa"/>
            <w:left w:w="108" w:type="dxa"/>
            <w:bottom w:w="0" w:type="dxa"/>
            <w:right w:w="108" w:type="dxa"/>
          </w:tblCellMar>
        </w:tblPrEx>
        <w:trPr>
          <w:trHeight w:val="331" w:hRule="atLeast"/>
          <w:jc w:val="center"/>
        </w:trPr>
        <w:tc>
          <w:tcPr>
            <w:tcW w:w="13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2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19年二季度路灯电费</w:t>
            </w:r>
          </w:p>
        </w:tc>
        <w:tc>
          <w:tcPr>
            <w:tcW w:w="2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5,887,320.21 </w:t>
            </w:r>
          </w:p>
        </w:tc>
      </w:tr>
      <w:tr>
        <w:tblPrEx>
          <w:tblCellMar>
            <w:top w:w="0" w:type="dxa"/>
            <w:left w:w="108" w:type="dxa"/>
            <w:bottom w:w="0" w:type="dxa"/>
            <w:right w:w="108" w:type="dxa"/>
          </w:tblCellMar>
        </w:tblPrEx>
        <w:trPr>
          <w:trHeight w:val="331" w:hRule="atLeast"/>
          <w:jc w:val="center"/>
        </w:trPr>
        <w:tc>
          <w:tcPr>
            <w:tcW w:w="13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2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19年三季度路灯电费</w:t>
            </w:r>
          </w:p>
        </w:tc>
        <w:tc>
          <w:tcPr>
            <w:tcW w:w="2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5,274,496.89 </w:t>
            </w:r>
          </w:p>
        </w:tc>
      </w:tr>
      <w:tr>
        <w:tblPrEx>
          <w:tblCellMar>
            <w:top w:w="0" w:type="dxa"/>
            <w:left w:w="108" w:type="dxa"/>
            <w:bottom w:w="0" w:type="dxa"/>
            <w:right w:w="108" w:type="dxa"/>
          </w:tblCellMar>
        </w:tblPrEx>
        <w:trPr>
          <w:trHeight w:val="331" w:hRule="atLeast"/>
          <w:jc w:val="center"/>
        </w:trPr>
        <w:tc>
          <w:tcPr>
            <w:tcW w:w="4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电费合计</w:t>
            </w:r>
          </w:p>
        </w:tc>
        <w:tc>
          <w:tcPr>
            <w:tcW w:w="29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26,326,798.49 </w:t>
            </w:r>
          </w:p>
        </w:tc>
      </w:tr>
      <w:tr>
        <w:tblPrEx>
          <w:tblCellMar>
            <w:top w:w="0" w:type="dxa"/>
            <w:left w:w="108" w:type="dxa"/>
            <w:bottom w:w="0" w:type="dxa"/>
            <w:right w:w="108" w:type="dxa"/>
          </w:tblCellMar>
        </w:tblPrEx>
        <w:trPr>
          <w:trHeight w:val="331" w:hRule="atLeast"/>
          <w:jc w:val="center"/>
        </w:trPr>
        <w:tc>
          <w:tcPr>
            <w:tcW w:w="134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路灯维修</w:t>
            </w:r>
          </w:p>
        </w:tc>
        <w:tc>
          <w:tcPr>
            <w:tcW w:w="29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19年路灯维护费</w:t>
            </w:r>
          </w:p>
        </w:tc>
        <w:tc>
          <w:tcPr>
            <w:tcW w:w="2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1,590,000.00 </w:t>
            </w:r>
          </w:p>
        </w:tc>
      </w:tr>
      <w:tr>
        <w:tblPrEx>
          <w:tblCellMar>
            <w:top w:w="0" w:type="dxa"/>
            <w:left w:w="108" w:type="dxa"/>
            <w:bottom w:w="0" w:type="dxa"/>
            <w:right w:w="108" w:type="dxa"/>
          </w:tblCellMar>
        </w:tblPrEx>
        <w:trPr>
          <w:trHeight w:val="331" w:hRule="atLeast"/>
          <w:jc w:val="center"/>
        </w:trPr>
        <w:tc>
          <w:tcPr>
            <w:tcW w:w="427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维修费合计</w:t>
            </w:r>
          </w:p>
        </w:tc>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1,590,000.00 </w:t>
            </w:r>
          </w:p>
        </w:tc>
      </w:tr>
      <w:tr>
        <w:tblPrEx>
          <w:tblCellMar>
            <w:top w:w="0" w:type="dxa"/>
            <w:left w:w="108" w:type="dxa"/>
            <w:bottom w:w="0" w:type="dxa"/>
            <w:right w:w="108" w:type="dxa"/>
          </w:tblCellMar>
        </w:tblPrEx>
        <w:trPr>
          <w:trHeight w:val="342" w:hRule="atLeast"/>
          <w:jc w:val="center"/>
        </w:trPr>
        <w:tc>
          <w:tcPr>
            <w:tcW w:w="427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总计</w:t>
            </w:r>
          </w:p>
        </w:tc>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27,916,798.49 </w:t>
            </w:r>
          </w:p>
        </w:tc>
      </w:tr>
    </w:tbl>
    <w:p>
      <w:pPr>
        <w:spacing w:line="360" w:lineRule="auto"/>
        <w:rPr>
          <w:rFonts w:ascii="Times New Roman" w:hAnsi="Times New Roman" w:eastAsia="仿宋_GB2312" w:cs="Times New Roman"/>
          <w:sz w:val="32"/>
          <w:szCs w:val="32"/>
        </w:rPr>
      </w:pPr>
      <w:r>
        <w:rPr>
          <w:rFonts w:hint="eastAsia" w:ascii="仿宋" w:hAnsi="仿宋" w:eastAsia="仿宋" w:cs="仿宋"/>
          <w:sz w:val="32"/>
          <w:szCs w:val="32"/>
        </w:rPr>
        <w:t xml:space="preserve">    </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实施情况</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公共路灯电费及维护项目主管部门为城管执法局，负责统筹公共路灯电费及区内已移交路灯设施的管理，制定相关制度，确保公共路灯电费及维护专项经费发挥应有的效益。实施部门为区路灯管理所，负责巡查路灯状况，确保路灯亮化问题及时发现及时解决。</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城管执法局采取年度普查、定期巡查、随机抽查的方式对区路灯设施进行核查，并建立巡查加班机制，在检查中发现的问题及12345、区长信箱等热线投诉件反</w:t>
      </w:r>
      <w:r>
        <w:rPr>
          <w:rFonts w:hint="eastAsia" w:ascii="Times New Roman" w:hAnsi="Times New Roman" w:eastAsia="仿宋_GB2312" w:cs="Times New Roman"/>
          <w:sz w:val="32"/>
          <w:szCs w:val="32"/>
          <w:lang w:eastAsia="zh-CN"/>
        </w:rPr>
        <w:t>映</w:t>
      </w:r>
      <w:r>
        <w:rPr>
          <w:rFonts w:hint="eastAsia" w:ascii="Times New Roman" w:hAnsi="Times New Roman" w:eastAsia="仿宋_GB2312" w:cs="Times New Roman"/>
          <w:sz w:val="32"/>
          <w:szCs w:val="32"/>
        </w:rPr>
        <w:t>的问题通报至微信管理群，要求路灯管理所安排人员在规定时间内进行修复，跟踪落实维护效果，并形成相应的台账。区路灯管理所每季度抄报电费，据实代为缴纳公共路灯电费，对区内已移交路灯设施按包干性质进行维护，人员安排、材料采购、设施设备投入均由路灯所自行控制管理。</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3.制度建设及执行</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管执法局于2018年3月制定了《长沙市望城区城市照明管理实施办法（试行）》，2020年制定《长沙市望城区城市照明管理实施办法》正式稿，但目前正在区法制办审核，还未发行；城管执法局于2018年3月对包干维护费支出制定了《望城区城市道路照明设施维护管理考核细则》，于2020年4月开始对区路灯管理所采取绩效扣分制度，该制度未对维护费用进行绩效挂钩。</w:t>
      </w:r>
    </w:p>
    <w:p>
      <w:pPr>
        <w:spacing w:line="600" w:lineRule="exact"/>
        <w:ind w:firstLine="643" w:firstLineChars="200"/>
        <w:rPr>
          <w:rFonts w:eastAsia="楷体_GB2312"/>
          <w:b/>
          <w:sz w:val="32"/>
          <w:szCs w:val="32"/>
        </w:rPr>
      </w:pPr>
      <w:r>
        <w:rPr>
          <w:rFonts w:eastAsia="楷体_GB2312"/>
          <w:b/>
          <w:sz w:val="32"/>
          <w:szCs w:val="32"/>
        </w:rPr>
        <w:t>（三）预算支出绩效目标完成程度</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公共路灯电费及维护项目绩效目标是提高亮灯率，解决道路路灯多年不亮的问题，维护路灯数量达25000盏，路灯综合亮灯率、供电可靠率、终端受控率均在95%以上，电费及维护费控制在2500万元以内，路灯设施完好率95%以上，满意度80%以上。实际维护路灯数量为</w:t>
      </w:r>
      <w:r>
        <w:rPr>
          <w:rFonts w:ascii="Times New Roman" w:hAnsi="Times New Roman" w:eastAsia="仿宋_GB2312" w:cs="Times New Roman"/>
          <w:sz w:val="32"/>
          <w:szCs w:val="32"/>
        </w:rPr>
        <w:t>21923</w:t>
      </w:r>
      <w:r>
        <w:rPr>
          <w:rFonts w:hint="eastAsia" w:ascii="Times New Roman" w:hAnsi="Times New Roman" w:eastAsia="仿宋_GB2312" w:cs="Times New Roman"/>
          <w:sz w:val="32"/>
          <w:szCs w:val="32"/>
        </w:rPr>
        <w:t>盏、综合亮灯率达到98%、供电可靠率达到100%、终端受控率为90%、设施完好率达95%以上、满意度80%，电费及维护费实际使用 2791.68万元。</w:t>
      </w:r>
    </w:p>
    <w:p>
      <w:pPr>
        <w:spacing w:line="600" w:lineRule="exact"/>
        <w:ind w:firstLine="640" w:firstLineChars="200"/>
        <w:rPr>
          <w:rFonts w:eastAsia="黑体"/>
          <w:sz w:val="32"/>
          <w:szCs w:val="32"/>
        </w:rPr>
      </w:pPr>
      <w:r>
        <w:rPr>
          <w:rFonts w:eastAsia="黑体"/>
          <w:sz w:val="32"/>
          <w:szCs w:val="32"/>
        </w:rPr>
        <w:t>二、绩效评价工作情况</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评价采用定量分析和定性分析相结合的方法，从项目立项、资金分配、预算执行、组织管理、财务管理、项目产出及绩效等方面，通过查阅项目文件、制度、投诉件、凭证等资料，了解项目基本情况、项目目的、项目规范要求、项目收支情况等；与项目负责人座谈，了解项目具体组织实施情况，项目进展及客观问题等；夜间抽查路段，查看亮灯、启闭、设施设备运行等情况；利用网络小程序采集群众意见等对项目进行全过程评价。本次评价工作得到了城管执法局的积极配合与支持。</w:t>
      </w:r>
    </w:p>
    <w:p>
      <w:pPr>
        <w:spacing w:line="600" w:lineRule="exact"/>
        <w:ind w:firstLine="640" w:firstLineChars="200"/>
        <w:rPr>
          <w:rFonts w:eastAsia="黑体"/>
          <w:sz w:val="32"/>
          <w:szCs w:val="32"/>
        </w:rPr>
      </w:pPr>
      <w:r>
        <w:rPr>
          <w:rFonts w:eastAsia="黑体"/>
          <w:sz w:val="32"/>
          <w:szCs w:val="32"/>
        </w:rPr>
        <w:t>三、预算支出主要绩效及评价结论</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1、公共路灯维护职能履行到位 </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管执法局对望城区城市公共路灯设施设备进行了普查，并将普查数据用于完善路灯管理台账，对全区公共路灯进行了较高质量维护，综合亮灯率达98%，设施完好率达到95%以上。目前望城区共计179条主次干道，包括变压器257台、灯杆19498杆、路灯31498盏，其中已移交21923盏路灯，占比70%；已移交191台变压器，占比74%；已移交12964灯杆，占比66%；综合维护范围达70%。2019年移交路灯盏数较2018年增加10507盏，移交占比增长了近20%，公共路灯维护量逐年增长。</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2、公共路灯电费成本控制成效显现</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路灯启闭要求随季节、气候、节假日、商业繁华度等情况调整，严格控制开关灯，对公共路灯用电实施常态化管理，从而实现节能减排，减少资源的浪费。通过抽查的路段用电量及电费数据分析，2019年较2018年总体有所降低。</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259080</wp:posOffset>
            </wp:positionV>
            <wp:extent cx="5274310" cy="3076575"/>
            <wp:effectExtent l="0" t="0" r="34290" b="22225"/>
            <wp:wrapTight wrapText="bothSides">
              <wp:wrapPolygon>
                <wp:start x="0" y="0"/>
                <wp:lineTo x="0" y="21578"/>
                <wp:lineTo x="21636" y="21578"/>
                <wp:lineTo x="21636"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3、公共路灯亮灯率稳居高位</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管执法局负责管理维护的主干道路灯亮灯率达98%、次干道达96%，设备完好率达到95%，现场抽查9条路，含未移交2条路。已移交的7条路中仅喻家坡西路亮灯率为95%，其余路段亮灯率为99%以上；未移交2条路中，其中潇湘大道（旺旺东路-潇湘北路）亮灯率仅为75%。抽查结果显示移交管理的道路路灯亮灯率整体优于未移交路段。</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评价结论</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2019年公共路灯电费及维护项目按期缴纳电费，基本按要求进行维护，亮灯率、设备完好率、亮化时间等方面均达到标准。但仍存在维修不够及时、未公开择优选择外包服务方、未对服务效果进行考核并将考核结果与结算费用挂钩等问题。绩效评价组从项目立项、绩效目标、资金投入、资金管理、组织实施、项目产出、项目效益等方面进行评价，综合评分为80.3分，评价等级为良。</w:t>
      </w:r>
    </w:p>
    <w:p>
      <w:pPr>
        <w:spacing w:line="600" w:lineRule="exact"/>
        <w:ind w:firstLine="640" w:firstLineChars="200"/>
        <w:rPr>
          <w:rFonts w:eastAsia="黑体"/>
          <w:sz w:val="32"/>
          <w:szCs w:val="32"/>
        </w:rPr>
      </w:pPr>
      <w:r>
        <w:rPr>
          <w:rFonts w:eastAsia="黑体"/>
          <w:sz w:val="32"/>
          <w:szCs w:val="32"/>
        </w:rPr>
        <w:t>四、绩效评价指标分析</w:t>
      </w:r>
    </w:p>
    <w:p>
      <w:pPr>
        <w:spacing w:line="600" w:lineRule="exact"/>
        <w:ind w:firstLine="643" w:firstLineChars="200"/>
        <w:rPr>
          <w:rFonts w:eastAsia="楷体_GB2312"/>
          <w:b/>
          <w:sz w:val="32"/>
          <w:szCs w:val="32"/>
        </w:rPr>
      </w:pPr>
      <w:r>
        <w:rPr>
          <w:rFonts w:eastAsia="楷体_GB2312"/>
          <w:b/>
          <w:sz w:val="32"/>
          <w:szCs w:val="32"/>
        </w:rPr>
        <w:t>（一）预算支出决策情况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立项依据充分，基本按程序申请设立；绩效目标合理，有清晰、可衡量的绩效指标，与项目目标任务数或计划数相对应；预算内容与项目内容匹配，预算额度依据区委政府会议纪要和主要领导批示所明确的具体金额，但2019年批复预算2500万元，实际使用2791.68万元，超预算291.68万元。</w:t>
      </w:r>
    </w:p>
    <w:p>
      <w:pPr>
        <w:spacing w:line="600" w:lineRule="exact"/>
        <w:ind w:firstLine="643" w:firstLineChars="200"/>
        <w:rPr>
          <w:rFonts w:eastAsia="楷体_GB2312"/>
          <w:b/>
          <w:sz w:val="32"/>
          <w:szCs w:val="32"/>
        </w:rPr>
      </w:pPr>
      <w:r>
        <w:rPr>
          <w:rFonts w:eastAsia="楷体_GB2312"/>
          <w:b/>
          <w:sz w:val="32"/>
          <w:szCs w:val="32"/>
        </w:rPr>
        <w:t>（二）预算执行过程情况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资金到位率100%，预算执行进度率100%，无未经审批的预算调整；未发现资金使用不合规的情况；管理制度不够健全，未经政府采购指定路灯所实施该项目，未签订相关合同；制度未有效执行，未按相关考核细则进行考核，未对路灯所人员条件、信息支撑等工作进行监督管理；对往年绩效评价、审计问题进行了整改，有整改情况说明；开展了自评工作并及时报送了自评报告，但绩效自评报告数据不够全面、准确，未反映具体问题。</w:t>
      </w:r>
    </w:p>
    <w:p>
      <w:pPr>
        <w:spacing w:line="600" w:lineRule="exact"/>
        <w:ind w:firstLine="643" w:firstLineChars="200"/>
        <w:rPr>
          <w:rFonts w:eastAsia="楷体_GB2312"/>
          <w:b/>
          <w:sz w:val="32"/>
          <w:szCs w:val="32"/>
        </w:rPr>
      </w:pPr>
      <w:r>
        <w:rPr>
          <w:rFonts w:eastAsia="楷体_GB2312"/>
          <w:b/>
          <w:sz w:val="32"/>
          <w:szCs w:val="32"/>
        </w:rPr>
        <w:t>（三）预算支出产出情况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维护范围达70%；亮灯率基本主干道达98%、其他区域达96%；项目未完全达到灯具故障24小时内修复，灯杆、电缆、变压器等一般故障48小时内修复的标准；终端受控率90%；设备完好率达95%；项目无异常用电情况；路段基本按季节、气候合理调整启闭时间；部分路段路灯光线被树木遮挡的情况未能有效解决。</w:t>
      </w:r>
    </w:p>
    <w:p>
      <w:pPr>
        <w:spacing w:line="600" w:lineRule="exact"/>
        <w:ind w:firstLine="643" w:firstLineChars="200"/>
        <w:rPr>
          <w:rFonts w:eastAsia="楷体_GB2312"/>
          <w:b/>
          <w:sz w:val="32"/>
          <w:szCs w:val="32"/>
        </w:rPr>
      </w:pPr>
      <w:r>
        <w:rPr>
          <w:rFonts w:eastAsia="楷体_GB2312"/>
          <w:b/>
          <w:sz w:val="32"/>
          <w:szCs w:val="32"/>
        </w:rPr>
        <w:t>（四）预算支出效益情况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路段同期相比路灯用电量总体有所节约；一定程度上减少了交通事故及社会治安问题；基本办结了群众投诉案件；群众综合满意度80%，具体反映了：湘江景观道上面的路灯由于是太阳能和风能提供电力，目前很多灯都不亮，影响防汛安全；电厂大道梅铜公路交叉路口红绿灯处开始至芙蓉北路始终未安装路灯，这一段公路车流量较多，当地农村进出口较多、未安装路灯交通安全隐患大，建议及时安装路灯等问题。</w:t>
      </w:r>
    </w:p>
    <w:p>
      <w:pPr>
        <w:spacing w:line="600" w:lineRule="exact"/>
        <w:ind w:firstLine="640" w:firstLineChars="200"/>
        <w:rPr>
          <w:rFonts w:eastAsia="黑体"/>
          <w:sz w:val="32"/>
          <w:szCs w:val="32"/>
        </w:rPr>
      </w:pPr>
      <w:r>
        <w:rPr>
          <w:rFonts w:eastAsia="黑体"/>
          <w:sz w:val="32"/>
          <w:szCs w:val="32"/>
        </w:rPr>
        <w:t>五、主要经验及做法、存在的问题及原因分析</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（一）主要经验及做法</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1、路灯台账齐全、内容充实，数据更新及时，路灯、箱变等设施设备分布情况明了，监督检查责任到人。</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2、电费、电量抄录留档，通过数据统计分析，防范异常用电。</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3、各平台投诉件关键信息如：时间、人物、事件、处理状态等登记全面，整理成表，便于跟踪管理、后期总结改进。</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（二）存在的问题</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1、未按政府采购程序选定项目服务方</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望城区公共路灯电费及维护服务未经政府采购程序，直接指定区路灯管理所负责实施。</w:t>
      </w:r>
    </w:p>
    <w:p>
      <w:pPr>
        <w:tabs>
          <w:tab w:val="left" w:pos="1560"/>
        </w:tabs>
        <w:spacing w:line="360" w:lineRule="auto"/>
        <w:ind w:left="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2、公共路灯维护外包未签订合同</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公共路灯维护管理工作以包干结算的方式交给区路灯管理所负责，区城管局固定支付500万/年的维护费给受托维护单位，但并未与受托维护单位签订委托协议或承包合同，未明确道路照明设施维护范围、维护内容、维护计价依据及费用结算、维护质量、服务承诺等，未对维护单位使用劳务派遣维护人员的职业技能、作业人员配备、作业设备、材料质量、备品备料及废品处置等进行规范和要求。</w:t>
      </w:r>
    </w:p>
    <w:p>
      <w:pPr>
        <w:tabs>
          <w:tab w:val="left" w:pos="1560"/>
        </w:tabs>
        <w:spacing w:line="360" w:lineRule="auto"/>
        <w:ind w:left="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3、公共路灯维护外包费无明细</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望城区公共路灯维护管理按500万/年的标准支付给区路灯管理所，无该价格组成明细。</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4、项目未实行绩效管理</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截至2019年12月，区城管执法局支付区路灯管理所维护费，未与道路亮灯率、设施完好率、供电可靠率、终端受控率、故障处理及时率等考核结果挂钩。</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5、未能实现公共路灯实时管控</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望城区路灯智能监控系统安装于区供电公司五楼供电指挥中心，区城管局无法随时使用路灯智能监控终端对全区公共路灯的实时情况进行管控。评价小组于2020年5月12日下午，现场查看路灯智能监控系统运行情况，其中金星路（马家河村）、高域北路（高塘岭路口）、黄桥大道（鱼家湾生态农庄）、金星北路（太湖村）、雷锋北大道（斑马湖）等控制终端未收到信号。</w:t>
      </w:r>
    </w:p>
    <w:p>
      <w:pPr>
        <w:tabs>
          <w:tab w:val="left" w:pos="1560"/>
        </w:tabs>
        <w:spacing w:line="360" w:lineRule="auto"/>
        <w:ind w:left="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6、未能实现对服务商的有效监管</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6月区路灯管理所未经区城管执法局批示同意，将望城区公共路灯维护工作分包给湖南华网电力工程有限公司望城分公司和浏阳市湘东电力安装工程有限公司。区路灯管理所无维修人员，仅配备综合管理人员20人左右。区路灯管理所使用公共路灯维护费支付区供电公司食堂伙食费用。</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7、路灯照明问题未能及时处理</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现场抽查9条路段，其中3条路段树木严重遮挡路灯，分别为郭亮北路（雷锋东路-八曲河路）、湘江路（雷锋北大道-郭亮北路）、喻家坡西路（郭亮南路-高裕南路）。</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（三）原因分析</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存在的问题主要原因是历史延续由区路灯所负责实施望城区公共路灯维护工作，城管执法局与区路灯所之间无合同约束，拨付费用延续历史标准未与绩效挂钩，加之区路灯所属国有企业，其的人、财、物、事均不受城管执法局管控，故在维护的及时性、维修的质量、作业中的安全规范程度等方面，城管执法局缺失有力的监管抓手。</w:t>
      </w:r>
    </w:p>
    <w:p>
      <w:pPr>
        <w:spacing w:line="600" w:lineRule="exact"/>
        <w:ind w:firstLine="640" w:firstLineChars="200"/>
        <w:rPr>
          <w:rFonts w:eastAsia="黑体"/>
          <w:sz w:val="32"/>
          <w:szCs w:val="32"/>
        </w:rPr>
      </w:pPr>
      <w:r>
        <w:rPr>
          <w:rFonts w:eastAsia="黑体"/>
          <w:sz w:val="32"/>
          <w:szCs w:val="32"/>
        </w:rPr>
        <w:t>六、有关建议</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1、参照内五区标准，科学编制项目概预算，面向社会依规采购，择优选择服务商。规范政府采购程序，做到程序合法合规，评审结果公开、公平、公正。</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对项目合同规范监督和管理。一是合同签订规范化，避免出现未签合同提供服务的情况，减少项目服务事后纠纷；二是加强对合同签订内容的审核，明确约定合同双方权利义务关系、细化合同约定内容，严格落实约定条款。</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3、加强项目监督管理，包括人员资产配置、服务质量、资金使用等方面，以确保公共路灯得到优质管理，提高望城整体形象，增加群众满意度。</w:t>
      </w:r>
    </w:p>
    <w:p>
      <w:pPr>
        <w:tabs>
          <w:tab w:val="left" w:pos="156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4、优化智能监控系统，实现全区域全覆盖实时监控，能远程了解路灯情况，并可以根据智能监控系统及时反馈处理问题。</w:t>
      </w:r>
    </w:p>
    <w:p>
      <w:pPr>
        <w:spacing w:line="600" w:lineRule="exact"/>
        <w:ind w:firstLine="640" w:firstLineChars="200"/>
        <w:rPr>
          <w:rFonts w:eastAsia="黑体"/>
          <w:sz w:val="32"/>
          <w:szCs w:val="32"/>
        </w:rPr>
      </w:pPr>
      <w:r>
        <w:rPr>
          <w:rFonts w:eastAsia="黑体"/>
          <w:sz w:val="32"/>
          <w:szCs w:val="32"/>
        </w:rPr>
        <w:t>七、其他需要说明的问题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p>
    <w:p>
      <w:pPr>
        <w:widowControl/>
        <w:spacing w:line="600" w:lineRule="exact"/>
        <w:ind w:firstLine="645"/>
        <w:jc w:val="left"/>
        <w:rPr>
          <w:rFonts w:eastAsia="仿宋_GB2312"/>
          <w:sz w:val="32"/>
          <w:szCs w:val="32"/>
        </w:rPr>
      </w:pPr>
      <w:r>
        <w:rPr>
          <w:rFonts w:eastAsia="仿宋_GB2312"/>
          <w:sz w:val="32"/>
          <w:szCs w:val="32"/>
        </w:rPr>
        <w:t>1、</w:t>
      </w:r>
      <w:r>
        <w:rPr>
          <w:rFonts w:hint="eastAsia" w:eastAsia="仿宋_GB2312"/>
          <w:sz w:val="32"/>
          <w:szCs w:val="32"/>
        </w:rPr>
        <w:t>2019年望城区公共路灯电费及维护项目</w:t>
      </w:r>
      <w:r>
        <w:rPr>
          <w:rFonts w:eastAsia="仿宋_GB2312"/>
          <w:sz w:val="32"/>
          <w:szCs w:val="32"/>
        </w:rPr>
        <w:t>绩效评价基础数据汇总表</w:t>
      </w:r>
    </w:p>
    <w:p>
      <w:pPr>
        <w:widowControl/>
        <w:spacing w:line="600" w:lineRule="exact"/>
        <w:ind w:firstLine="645"/>
        <w:jc w:val="left"/>
        <w:rPr>
          <w:rFonts w:eastAsia="仿宋_GB2312"/>
          <w:sz w:val="32"/>
          <w:szCs w:val="32"/>
        </w:rPr>
      </w:pPr>
      <w:r>
        <w:rPr>
          <w:rFonts w:eastAsia="仿宋_GB2312"/>
          <w:sz w:val="32"/>
          <w:szCs w:val="32"/>
        </w:rPr>
        <w:t>2、</w:t>
      </w:r>
      <w:r>
        <w:rPr>
          <w:rFonts w:hint="eastAsia" w:eastAsia="仿宋_GB2312"/>
          <w:sz w:val="32"/>
          <w:szCs w:val="32"/>
        </w:rPr>
        <w:t>2019年望城区公共路灯电费及维护项目</w:t>
      </w:r>
      <w:r>
        <w:rPr>
          <w:rFonts w:eastAsia="仿宋_GB2312"/>
          <w:sz w:val="32"/>
          <w:szCs w:val="32"/>
        </w:rPr>
        <w:t>绩效评价指标评分表</w:t>
      </w:r>
    </w:p>
    <w:p>
      <w:pPr>
        <w:widowControl/>
        <w:spacing w:line="600" w:lineRule="exact"/>
        <w:ind w:firstLine="645"/>
        <w:jc w:val="left"/>
        <w:rPr>
          <w:rFonts w:eastAsia="仿宋_GB2312"/>
          <w:sz w:val="32"/>
          <w:szCs w:val="32"/>
        </w:rPr>
      </w:pPr>
    </w:p>
    <w:p>
      <w:pPr>
        <w:widowControl/>
        <w:spacing w:line="600" w:lineRule="exact"/>
        <w:ind w:firstLine="645"/>
        <w:jc w:val="left"/>
        <w:rPr>
          <w:rFonts w:eastAsia="仿宋_GB2312"/>
          <w:sz w:val="32"/>
          <w:szCs w:val="32"/>
        </w:rPr>
      </w:pPr>
    </w:p>
    <w:p>
      <w:pPr>
        <w:widowControl/>
        <w:spacing w:line="600" w:lineRule="exact"/>
        <w:ind w:firstLine="645"/>
        <w:jc w:val="left"/>
        <w:rPr>
          <w:rFonts w:eastAsia="仿宋_GB2312"/>
          <w:sz w:val="32"/>
          <w:szCs w:val="32"/>
        </w:rPr>
      </w:pPr>
    </w:p>
    <w:p>
      <w:pPr>
        <w:widowControl/>
        <w:spacing w:line="600" w:lineRule="exact"/>
        <w:ind w:firstLine="645"/>
        <w:jc w:val="right"/>
        <w:rPr>
          <w:rFonts w:eastAsia="仿宋_GB2312"/>
          <w:sz w:val="32"/>
          <w:szCs w:val="32"/>
        </w:rPr>
      </w:pPr>
      <w:r>
        <w:rPr>
          <w:rFonts w:hint="eastAsia" w:eastAsia="仿宋_GB2312"/>
          <w:sz w:val="32"/>
          <w:szCs w:val="32"/>
        </w:rPr>
        <w:t>湖南华辉会计师事务所有限责任公司</w:t>
      </w:r>
    </w:p>
    <w:p>
      <w:pPr>
        <w:pStyle w:val="4"/>
        <w:ind w:left="99" w:leftChars="47" w:firstLine="420"/>
      </w:pPr>
      <w:r>
        <w:rPr>
          <w:rFonts w:hint="eastAsia"/>
        </w:rPr>
        <w:t xml:space="preserve">                             2020年6月15日</w:t>
      </w:r>
    </w:p>
    <w:p/>
    <w:p/>
    <w:p/>
    <w:p/>
    <w:p/>
    <w:p/>
    <w:p/>
    <w:p/>
    <w:p/>
    <w:p/>
    <w:p/>
    <w:p/>
    <w:p/>
    <w:p/>
    <w:p/>
    <w:p/>
    <w:p/>
    <w:p/>
    <w:p>
      <w:r>
        <w:rPr>
          <w:rFonts w:hint="eastAsia"/>
        </w:rPr>
        <w:t>附件1</w:t>
      </w:r>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2019年望城区公共路灯电费及维护项目</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绩效评价基础数据汇总表</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
        <w:gridCol w:w="43"/>
        <w:gridCol w:w="1757"/>
        <w:gridCol w:w="86"/>
        <w:gridCol w:w="142"/>
        <w:gridCol w:w="1134"/>
        <w:gridCol w:w="283"/>
        <w:gridCol w:w="567"/>
        <w:gridCol w:w="425"/>
        <w:gridCol w:w="7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364"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项目名称</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　</w:t>
            </w:r>
            <w:r>
              <w:rPr>
                <w:rFonts w:hint="eastAsia" w:ascii="宋体" w:hAnsi="宋体" w:eastAsia="宋体" w:cs="宋体"/>
                <w:kern w:val="0"/>
                <w:sz w:val="20"/>
                <w:szCs w:val="20"/>
              </w:rPr>
              <w:t>2019年望城区公共路灯电费及维护项目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项目主管部门</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望城区城市管理与综合执法局</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项目性质</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Cs w:val="21"/>
              </w:rPr>
            </w:pPr>
            <w:r>
              <w:rPr>
                <w:rFonts w:hint="eastAsia" w:asciiTheme="minorEastAsia" w:hAnsiTheme="minorEastAsia"/>
                <w:szCs w:val="21"/>
              </w:rPr>
              <w:t xml:space="preserve">■经常性       □一次性    </w:t>
            </w:r>
          </w:p>
          <w:p>
            <w:pPr>
              <w:adjustRightInd w:val="0"/>
              <w:snapToGrid w:val="0"/>
              <w:rPr>
                <w:rFonts w:asciiTheme="minorEastAsia" w:hAnsiTheme="minorEastAsia"/>
                <w:szCs w:val="21"/>
              </w:rPr>
            </w:pPr>
            <w:r>
              <w:rPr>
                <w:rFonts w:hint="eastAsia" w:asciiTheme="minorEastAsia" w:hAnsiTheme="minorEastAsia"/>
                <w:szCs w:val="21"/>
              </w:rPr>
              <w:t>□新增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项目实施单位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区路灯管理所</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项目负责人</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刘崇彪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联系电话</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18874227833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起止日期</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rPr>
                <w:rFonts w:asciiTheme="minorEastAsia" w:hAnsiTheme="minorEastAsia"/>
                <w:szCs w:val="21"/>
              </w:rPr>
            </w:pPr>
            <w:r>
              <w:rPr>
                <w:rFonts w:hint="eastAsia" w:ascii="宋体" w:hAnsi="宋体" w:eastAsia="宋体" w:cs="宋体"/>
                <w:kern w:val="0"/>
                <w:sz w:val="20"/>
                <w:szCs w:val="20"/>
              </w:rPr>
              <w:t>2019年1月起至2019年12月止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项目主要内容</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宋体" w:hAnsi="宋体" w:eastAsia="宋体" w:cs="宋体"/>
                <w:kern w:val="0"/>
                <w:sz w:val="20"/>
                <w:szCs w:val="20"/>
              </w:rPr>
              <w:t>支付区财政统筹的路灯电费及区内已移交路灯设施的维护费两项内容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是否实行政府采购</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是否实行招投标</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是否实行国库集中支付</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是否实行资金报</w:t>
            </w:r>
            <w:r>
              <w:rPr>
                <w:rFonts w:hint="eastAsia" w:asciiTheme="minorEastAsia" w:hAnsiTheme="minorEastAsia"/>
                <w:szCs w:val="21"/>
                <w:lang w:eastAsia="zh-CN"/>
              </w:rPr>
              <w:t>账</w:t>
            </w:r>
            <w:bookmarkStart w:id="0" w:name="_GoBack"/>
            <w:bookmarkEnd w:id="0"/>
            <w:r>
              <w:rPr>
                <w:rFonts w:hint="eastAsia" w:asciiTheme="minorEastAsia" w:hAnsiTheme="minorEastAsia"/>
                <w:szCs w:val="21"/>
              </w:rPr>
              <w:t>制</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是否实行投资评审制</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是否实行合同管理制</w:t>
            </w:r>
          </w:p>
        </w:tc>
        <w:tc>
          <w:tcPr>
            <w:tcW w:w="6521"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64"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二、项目经费情况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64"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1、项目资金总额及构成情况（万元）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　</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区财政拨款</w:t>
            </w:r>
          </w:p>
        </w:tc>
        <w:tc>
          <w:tcPr>
            <w:tcW w:w="16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自筹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其他</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项目预算总金额</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2500</w:t>
            </w:r>
          </w:p>
        </w:tc>
        <w:tc>
          <w:tcPr>
            <w:tcW w:w="16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0</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实际到位金额</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heme="minorEastAsia" w:hAnsiTheme="minorEastAsia"/>
                <w:szCs w:val="21"/>
              </w:rPr>
            </w:pPr>
            <w:r>
              <w:rPr>
                <w:rFonts w:asciiTheme="minorEastAsia" w:hAnsiTheme="minorEastAsia"/>
                <w:szCs w:val="21"/>
              </w:rPr>
              <w:t>2,791.68</w:t>
            </w:r>
          </w:p>
        </w:tc>
        <w:tc>
          <w:tcPr>
            <w:tcW w:w="16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0</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asciiTheme="minorEastAsia" w:hAnsiTheme="minorEastAsia"/>
                <w:szCs w:val="21"/>
              </w:rPr>
              <w:t>2,791.68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64"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2、项目经费使用情况（万元）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项目支出内容</w:t>
            </w:r>
          </w:p>
        </w:tc>
        <w:tc>
          <w:tcPr>
            <w:tcW w:w="202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计划支出</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实际支出</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电费</w:t>
            </w:r>
          </w:p>
        </w:tc>
        <w:tc>
          <w:tcPr>
            <w:tcW w:w="202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2000</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2,632.68</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支付往年电费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维护费</w:t>
            </w:r>
          </w:p>
        </w:tc>
        <w:tc>
          <w:tcPr>
            <w:tcW w:w="202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500</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159.00</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预算资金已使用完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64"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三、项目执行情况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项目立项情况</w:t>
            </w:r>
          </w:p>
        </w:tc>
        <w:tc>
          <w:tcPr>
            <w:tcW w:w="6564" w:type="dxa"/>
            <w:gridSpan w:val="10"/>
            <w:tcBorders>
              <w:top w:val="single" w:color="auto" w:sz="4" w:space="0"/>
              <w:left w:val="single" w:color="auto" w:sz="4" w:space="0"/>
              <w:bottom w:val="single" w:color="auto" w:sz="4" w:space="0"/>
              <w:right w:val="single" w:color="auto" w:sz="4" w:space="0"/>
            </w:tcBorders>
          </w:tcPr>
          <w:p>
            <w:pPr>
              <w:spacing w:line="360" w:lineRule="auto"/>
              <w:ind w:firstLine="400" w:firstLineChars="200"/>
              <w:rPr>
                <w:rFonts w:asciiTheme="minorEastAsia" w:hAnsiTheme="minorEastAsia"/>
                <w:szCs w:val="21"/>
              </w:rPr>
            </w:pPr>
            <w:r>
              <w:rPr>
                <w:rFonts w:hint="eastAsia" w:ascii="宋体" w:hAnsi="宋体" w:eastAsia="宋体" w:cs="宋体"/>
                <w:color w:val="000000"/>
                <w:kern w:val="0"/>
                <w:sz w:val="20"/>
                <w:szCs w:val="20"/>
                <w:lang w:bidi="ar"/>
              </w:rPr>
              <w:t>中华人民共和国住房和城乡建设部令第4号令《城市照明管理规定》、望城区区长办公会议纪要〔2016〕44号文件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gridSpan w:val="2"/>
            <w:tcBorders>
              <w:top w:val="single" w:color="auto" w:sz="4" w:space="0"/>
              <w:left w:val="single" w:color="auto" w:sz="4" w:space="0"/>
              <w:bottom w:val="nil"/>
              <w:right w:val="single" w:color="auto" w:sz="4" w:space="0"/>
            </w:tcBorders>
            <w:vAlign w:val="center"/>
          </w:tcPr>
          <w:p>
            <w:pPr>
              <w:rPr>
                <w:rFonts w:asciiTheme="minorEastAsia" w:hAnsiTheme="minorEastAsia"/>
                <w:szCs w:val="21"/>
              </w:rPr>
            </w:pPr>
            <w:r>
              <w:rPr>
                <w:rFonts w:hint="eastAsia" w:asciiTheme="minorEastAsia" w:hAnsiTheme="minorEastAsia"/>
                <w:szCs w:val="21"/>
              </w:rPr>
              <w:t>项目管理制度及制度名称</w:t>
            </w:r>
          </w:p>
        </w:tc>
        <w:tc>
          <w:tcPr>
            <w:tcW w:w="6564"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《长沙市望城区城市照明管理实施办法（试行）》、《望城区城市道路照明设施维护管理考核细则》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00" w:type="dxa"/>
            <w:gridSpan w:val="2"/>
            <w:tcBorders>
              <w:top w:val="single" w:color="auto" w:sz="4" w:space="0"/>
              <w:left w:val="single" w:color="auto" w:sz="4" w:space="0"/>
              <w:bottom w:val="nil"/>
              <w:right w:val="single" w:color="auto" w:sz="4" w:space="0"/>
            </w:tcBorders>
            <w:vAlign w:val="center"/>
          </w:tcPr>
          <w:p>
            <w:pPr>
              <w:rPr>
                <w:rFonts w:asciiTheme="minorEastAsia" w:hAnsiTheme="minorEastAsia"/>
                <w:szCs w:val="21"/>
              </w:rPr>
            </w:pPr>
            <w:r>
              <w:rPr>
                <w:rFonts w:hint="eastAsia" w:asciiTheme="minorEastAsia" w:hAnsiTheme="minorEastAsia"/>
                <w:szCs w:val="21"/>
              </w:rPr>
              <w:t>具体工作措施</w:t>
            </w:r>
          </w:p>
        </w:tc>
        <w:tc>
          <w:tcPr>
            <w:tcW w:w="6564"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采取年度普查、定期巡查、随时抽查的方式对区路灯设施进行核查，并建立巡查加班制度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00" w:type="dxa"/>
            <w:gridSpan w:val="2"/>
            <w:tcBorders>
              <w:top w:val="single" w:color="auto" w:sz="4" w:space="0"/>
              <w:left w:val="single" w:color="auto" w:sz="4" w:space="0"/>
              <w:bottom w:val="nil"/>
              <w:right w:val="single" w:color="auto" w:sz="4" w:space="0"/>
            </w:tcBorders>
            <w:vAlign w:val="center"/>
          </w:tcPr>
          <w:p>
            <w:pPr>
              <w:rPr>
                <w:rFonts w:asciiTheme="minorEastAsia" w:hAnsiTheme="minorEastAsia"/>
                <w:szCs w:val="21"/>
              </w:rPr>
            </w:pPr>
            <w:r>
              <w:rPr>
                <w:rFonts w:hint="eastAsia" w:asciiTheme="minorEastAsia" w:hAnsiTheme="minorEastAsia"/>
                <w:szCs w:val="21"/>
              </w:rPr>
              <w:t>项目调整内容及报批程序和手续</w:t>
            </w:r>
          </w:p>
        </w:tc>
        <w:tc>
          <w:tcPr>
            <w:tcW w:w="6564"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00" w:type="dxa"/>
            <w:gridSpan w:val="2"/>
            <w:tcBorders>
              <w:top w:val="single" w:color="auto" w:sz="4" w:space="0"/>
              <w:left w:val="single" w:color="auto" w:sz="4" w:space="0"/>
              <w:bottom w:val="nil"/>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 xml:space="preserve">项目验收情况 </w:t>
            </w:r>
          </w:p>
        </w:tc>
        <w:tc>
          <w:tcPr>
            <w:tcW w:w="6564"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64"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四、项目产出成果及取得的经济、社会和生态效益情况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项目产出成果</w:t>
            </w:r>
          </w:p>
        </w:tc>
        <w:tc>
          <w:tcPr>
            <w:tcW w:w="6744"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实际维护路灯数量为21923盏、综合亮灯率达到98%、供电可靠率达到100%、终端受控率为90%、设施完好率达95%以上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项目社会效益</w:t>
            </w:r>
          </w:p>
        </w:tc>
        <w:tc>
          <w:tcPr>
            <w:tcW w:w="6744"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社会满意度80%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364" w:type="dxa"/>
            <w:gridSpan w:val="12"/>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Theme="minorEastAsia" w:hAnsiTheme="minorEastAsia"/>
                <w:szCs w:val="21"/>
              </w:rPr>
            </w:pPr>
            <w:r>
              <w:rPr>
                <w:rFonts w:hint="eastAsia" w:asciiTheme="minorEastAsia" w:hAnsiTheme="minorEastAsia"/>
                <w:szCs w:val="21"/>
              </w:rPr>
              <w:t>五、项目存在的问题、经验及亮点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8364" w:type="dxa"/>
            <w:gridSpan w:val="12"/>
            <w:tcBorders>
              <w:top w:val="single" w:color="auto" w:sz="4" w:space="0"/>
              <w:left w:val="single" w:color="auto" w:sz="4" w:space="0"/>
              <w:bottom w:val="single" w:color="auto" w:sz="4" w:space="0"/>
              <w:right w:val="single" w:color="auto" w:sz="4" w:space="0"/>
            </w:tcBorders>
          </w:tcPr>
          <w:p>
            <w:pPr>
              <w:tabs>
                <w:tab w:val="left" w:pos="1560"/>
              </w:tabs>
              <w:spacing w:line="360" w:lineRule="auto"/>
              <w:ind w:firstLine="420" w:firstLineChars="200"/>
              <w:rPr>
                <w:rFonts w:asciiTheme="minorEastAsia" w:hAnsiTheme="minorEastAsia"/>
                <w:szCs w:val="21"/>
              </w:rPr>
            </w:pPr>
            <w:r>
              <w:rPr>
                <w:rFonts w:hint="eastAsia" w:asciiTheme="minorEastAsia" w:hAnsiTheme="minorEastAsia"/>
                <w:szCs w:val="21"/>
              </w:rPr>
              <w:t>1、未公开招标选定项目服务方</w:t>
            </w:r>
          </w:p>
          <w:p>
            <w:pPr>
              <w:tabs>
                <w:tab w:val="left" w:pos="1560"/>
              </w:tabs>
              <w:spacing w:line="360" w:lineRule="auto"/>
              <w:ind w:firstLine="420" w:firstLineChars="200"/>
              <w:rPr>
                <w:rFonts w:asciiTheme="minorEastAsia" w:hAnsiTheme="minorEastAsia"/>
                <w:szCs w:val="21"/>
              </w:rPr>
            </w:pPr>
            <w:r>
              <w:rPr>
                <w:rFonts w:hint="eastAsia" w:asciiTheme="minorEastAsia" w:hAnsiTheme="minorEastAsia"/>
                <w:szCs w:val="21"/>
              </w:rPr>
              <w:t>2、公共路灯维护外包未签订合同</w:t>
            </w:r>
          </w:p>
          <w:p>
            <w:pPr>
              <w:tabs>
                <w:tab w:val="left" w:pos="1560"/>
              </w:tabs>
              <w:spacing w:line="360" w:lineRule="auto"/>
              <w:ind w:firstLine="420" w:firstLineChars="200"/>
              <w:rPr>
                <w:rFonts w:asciiTheme="minorEastAsia" w:hAnsiTheme="minorEastAsia"/>
                <w:szCs w:val="21"/>
              </w:rPr>
            </w:pPr>
            <w:r>
              <w:rPr>
                <w:rFonts w:hint="eastAsia" w:asciiTheme="minorEastAsia" w:hAnsiTheme="minorEastAsia"/>
                <w:szCs w:val="21"/>
              </w:rPr>
              <w:t>3、公共路灯维护外包费无明细</w:t>
            </w:r>
          </w:p>
          <w:p>
            <w:pPr>
              <w:tabs>
                <w:tab w:val="left" w:pos="1560"/>
              </w:tabs>
              <w:spacing w:line="360" w:lineRule="auto"/>
              <w:ind w:firstLine="420" w:firstLineChars="200"/>
              <w:rPr>
                <w:rFonts w:asciiTheme="minorEastAsia" w:hAnsiTheme="minorEastAsia"/>
                <w:szCs w:val="21"/>
              </w:rPr>
            </w:pPr>
            <w:r>
              <w:rPr>
                <w:rFonts w:hint="eastAsia" w:asciiTheme="minorEastAsia" w:hAnsiTheme="minorEastAsia"/>
                <w:szCs w:val="21"/>
              </w:rPr>
              <w:t>4、项目未实行绩效管理</w:t>
            </w:r>
          </w:p>
          <w:p>
            <w:pPr>
              <w:tabs>
                <w:tab w:val="left" w:pos="1560"/>
              </w:tabs>
              <w:spacing w:line="360" w:lineRule="auto"/>
              <w:ind w:firstLine="420" w:firstLineChars="200"/>
              <w:rPr>
                <w:rFonts w:asciiTheme="minorEastAsia" w:hAnsiTheme="minorEastAsia"/>
                <w:szCs w:val="21"/>
              </w:rPr>
            </w:pPr>
            <w:r>
              <w:rPr>
                <w:rFonts w:hint="eastAsia" w:asciiTheme="minorEastAsia" w:hAnsiTheme="minorEastAsia"/>
                <w:szCs w:val="21"/>
              </w:rPr>
              <w:t>5、未能实现公共路灯实时管控</w:t>
            </w:r>
          </w:p>
          <w:p>
            <w:pPr>
              <w:tabs>
                <w:tab w:val="left" w:pos="1560"/>
              </w:tabs>
              <w:spacing w:line="360" w:lineRule="auto"/>
              <w:ind w:firstLine="420" w:firstLineChars="200"/>
              <w:rPr>
                <w:rFonts w:asciiTheme="minorEastAsia" w:hAnsiTheme="minorEastAsia"/>
                <w:szCs w:val="21"/>
              </w:rPr>
            </w:pPr>
            <w:r>
              <w:rPr>
                <w:rFonts w:hint="eastAsia" w:asciiTheme="minorEastAsia" w:hAnsiTheme="minorEastAsia"/>
                <w:szCs w:val="21"/>
              </w:rPr>
              <w:t>6、未能实现对服务商的有效监管</w:t>
            </w:r>
          </w:p>
          <w:p>
            <w:pPr>
              <w:tabs>
                <w:tab w:val="left" w:pos="1560"/>
              </w:tabs>
              <w:spacing w:line="360" w:lineRule="auto"/>
              <w:ind w:firstLine="420" w:firstLineChars="200"/>
              <w:rPr>
                <w:rFonts w:asciiTheme="minorEastAsia" w:hAnsiTheme="minorEastAsia"/>
                <w:szCs w:val="21"/>
              </w:rPr>
            </w:pPr>
            <w:r>
              <w:rPr>
                <w:rFonts w:hint="eastAsia" w:asciiTheme="minorEastAsia" w:hAnsiTheme="minorEastAsia"/>
                <w:szCs w:val="21"/>
              </w:rPr>
              <w:t>7、路灯照明问题未能及时处理</w:t>
            </w:r>
          </w:p>
        </w:tc>
      </w:tr>
    </w:tbl>
    <w:p>
      <w:pPr>
        <w:spacing w:line="560" w:lineRule="exact"/>
        <w:jc w:val="center"/>
        <w:rPr>
          <w:rFonts w:ascii="方正小标宋简体" w:eastAsia="方正小标宋简体"/>
          <w:sz w:val="36"/>
          <w:szCs w:val="36"/>
        </w:rPr>
      </w:pPr>
    </w:p>
    <w:p>
      <w:pPr>
        <w:rPr>
          <w:rFonts w:ascii="方正小标宋简体" w:hAnsi="宋体" w:eastAsia="方正小标宋简体"/>
          <w:sz w:val="36"/>
          <w:szCs w:val="36"/>
        </w:rPr>
      </w:pPr>
    </w:p>
    <w:p/>
    <w:p/>
    <w:p/>
    <w:p/>
    <w:p/>
    <w:p>
      <w:r>
        <w:rPr>
          <w:rFonts w:hint="eastAsia"/>
        </w:rPr>
        <w:t>附件2</w:t>
      </w:r>
    </w:p>
    <w:p>
      <w:pPr>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2019年望城区公共路灯电费及维护项目</w:t>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绩效评价指标评分表</w:t>
      </w:r>
    </w:p>
    <w:tbl>
      <w:tblPr>
        <w:tblStyle w:val="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654"/>
        <w:gridCol w:w="718"/>
        <w:gridCol w:w="561"/>
        <w:gridCol w:w="2301"/>
        <w:gridCol w:w="2297"/>
        <w:gridCol w:w="61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8"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一级指标</w:t>
            </w:r>
          </w:p>
        </w:tc>
        <w:tc>
          <w:tcPr>
            <w:tcW w:w="65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二级指标</w:t>
            </w: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三级指标</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分值</w:t>
            </w:r>
          </w:p>
        </w:tc>
        <w:tc>
          <w:tcPr>
            <w:tcW w:w="2358"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评分要点</w:t>
            </w:r>
          </w:p>
        </w:tc>
        <w:tc>
          <w:tcPr>
            <w:tcW w:w="2354"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评分标准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得分</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0" w:hRule="atLeast"/>
          <w:jc w:val="center"/>
        </w:trPr>
        <w:tc>
          <w:tcPr>
            <w:tcW w:w="638" w:type="dxa"/>
            <w:vMerge w:val="restart"/>
            <w:shd w:val="clear" w:color="auto" w:fill="auto"/>
            <w:vAlign w:val="center"/>
          </w:tcPr>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项目</w:t>
            </w:r>
          </w:p>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决策</w:t>
            </w:r>
          </w:p>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（16分）</w:t>
            </w:r>
          </w:p>
        </w:tc>
        <w:tc>
          <w:tcPr>
            <w:tcW w:w="656" w:type="dxa"/>
            <w:vMerge w:val="restart"/>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项目立项（5分）</w:t>
            </w: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立项依据充分性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358"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①项目立项是否符合法律法规、国民经济发展规划和相关政策；</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②项目立项是否符合行业发展规划和政策要求；</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③项目立项是否与部门职责范围相符，属于部门履职所需；</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④项目是否属于公共财政支持范围，是否符合中央、地方事权支出责任划分原则；</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①、②、③、④各0.5分，否则，酌情扣分。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立项依据充分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立项程序规范性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2358"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①项目是否按照规定的程序申请设立；</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②审批文件、合同及材料是否符合相关要求；</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③事前是否已经过必要的可行性研究、专家论证、风险评估、绩效评估、集体决策。</w:t>
            </w:r>
          </w:p>
        </w:tc>
        <w:tc>
          <w:tcPr>
            <w:tcW w:w="2354"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①按照规定的程序申请设立计1分，否则，酌情扣分；</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②审批文件、合同及材料符合相关要求计1份,否则，酌情扣分；</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③事前是否已经过必要的可行性研究、专家论证、风险评估、绩效评估、集体决策计1分，否则，酌情扣分。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项目按程序申请设立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restart"/>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绩效目标（4分）</w:t>
            </w: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绩效目标合理性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①、②、③、④、各0.5分，否则，酌情扣分。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　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绩效指标明确性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358"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①是否将项目绩效目标细化分解为具体的绩效指标；</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②是否通过清晰、可衡量的指标值予以体现；</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③是否与项目目标任务数或计划数相对应。</w:t>
            </w:r>
          </w:p>
        </w:tc>
        <w:tc>
          <w:tcPr>
            <w:tcW w:w="2354"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①项目绩效目标细化分解为具体的绩效指标得1分，否则酌情扣分，扣完为止；</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②通过清晰、可衡量的指标值予以体现得0.5分，否则酌情扣分，扣完为止；</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③与项目目标任务数或计划数相对应得0.5分，否则酌情扣分，扣完为止。</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　有可量化的指标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资金投入（7分）</w:t>
            </w: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预算编制科学性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358" w:type="dxa"/>
            <w:shd w:val="clear" w:color="auto" w:fill="auto"/>
            <w:vAlign w:val="center"/>
          </w:tcPr>
          <w:p>
            <w:pPr>
              <w:widowControl/>
              <w:jc w:val="left"/>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①预算编制是否经过科学论证；</w:t>
            </w:r>
          </w:p>
          <w:p>
            <w:pPr>
              <w:widowControl/>
              <w:jc w:val="left"/>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②预算内容与项目内容是否匹配；</w:t>
            </w:r>
          </w:p>
          <w:p>
            <w:pPr>
              <w:widowControl/>
              <w:jc w:val="left"/>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③预算额度测算依据是否充分（含有效文件、区委政府会议纪要和主要领导批示所明确的具体金额），是否按照标准编制；</w:t>
            </w:r>
          </w:p>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④预算确定的项目投资额或资金量是否与工作任务相匹配。</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①、②、③、④各0.5分，否则，酌情扣分；无预算超预算该项分数全扣。</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0</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批复预算2500万元，实际使用 27,916,798.49 元，超预算，扣2分。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8" w:type="dxa"/>
            <w:vMerge w:val="restart"/>
            <w:shd w:val="clear" w:color="auto" w:fill="auto"/>
            <w:vAlign w:val="center"/>
          </w:tcPr>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项目</w:t>
            </w:r>
          </w:p>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决策</w:t>
            </w:r>
          </w:p>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（16分）</w:t>
            </w:r>
          </w:p>
        </w:tc>
        <w:tc>
          <w:tcPr>
            <w:tcW w:w="656" w:type="dxa"/>
            <w:vMerge w:val="restart"/>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资金投入（7分）</w:t>
            </w:r>
          </w:p>
        </w:tc>
        <w:tc>
          <w:tcPr>
            <w:tcW w:w="732" w:type="dxa"/>
            <w:vMerge w:val="restart"/>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资金分配规范性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①分配办法是否健全、规范；②分配标准、因素选择是否全面、合理。</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①分配办法健全、规范，计0.5分，1 例不符合扣0.1分；②分配标准、因素选择全面、合理，计0.5分，1 例不符合扣0.1分。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vMerge w:val="continue"/>
            <w:vAlign w:val="center"/>
          </w:tcPr>
          <w:p>
            <w:pPr>
              <w:widowControl/>
              <w:jc w:val="left"/>
              <w:rPr>
                <w:rFonts w:ascii="宋体" w:hAnsi="宋体" w:eastAsia="宋体" w:cs="Times New Roman"/>
                <w:kern w:val="0"/>
                <w:sz w:val="20"/>
                <w:szCs w:val="20"/>
              </w:rPr>
            </w:pP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实际分配是否符合办法要求，结果是否公平、合理。</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实际分配符合办法要求，结果公平、合理，计1分，1例不符合扣0.1分。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vMerge w:val="continue"/>
            <w:vAlign w:val="center"/>
          </w:tcPr>
          <w:p>
            <w:pPr>
              <w:widowControl/>
              <w:jc w:val="left"/>
              <w:rPr>
                <w:rFonts w:ascii="宋体" w:hAnsi="宋体" w:eastAsia="宋体" w:cs="Times New Roman"/>
                <w:kern w:val="0"/>
                <w:sz w:val="20"/>
                <w:szCs w:val="20"/>
              </w:rPr>
            </w:pP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①资金分配结果是否在公开渠道进行公示；②公示是否及时，公示期是否到达要求；③公示内容准确；④公示内容完整。</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①资金分配结果在公开渠道及时达到规定期限要求，进行公示，计0.5分；②公示内容准确、完整，计0.5分。否则，酌情扣分。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结转结余资金合理性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结转结余数指单位本年度的结转资金与结余资金之和（以决算为准）</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区级公共项目资金不能结转，无结转计2分，有结转不得分。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无结转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638" w:type="dxa"/>
            <w:vMerge w:val="restart"/>
            <w:shd w:val="clear" w:color="auto" w:fill="auto"/>
            <w:vAlign w:val="center"/>
          </w:tcPr>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项目</w:t>
            </w:r>
          </w:p>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过程</w:t>
            </w:r>
          </w:p>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（24分）</w:t>
            </w:r>
          </w:p>
        </w:tc>
        <w:tc>
          <w:tcPr>
            <w:tcW w:w="656" w:type="dxa"/>
            <w:vMerge w:val="restart"/>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资金管理（13分）</w:t>
            </w: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资金到位率</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2358"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资金到位率=（实际到位资金/预算资金）×100%。</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实际到位资金：一定时期（本年度或项目期）内落实到具体项目的资金。</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预算资金：一定时期（本年度或项目期）内预算安排到具体项目的资金。</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经审批或下达资金指标文后，根据合同约定在规定时限内拨付到项目，计3分，否则不得分。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下达资金全部拨付项目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预算执行进度率</w:t>
            </w:r>
          </w:p>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和调整率</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4</w:t>
            </w:r>
          </w:p>
        </w:tc>
        <w:tc>
          <w:tcPr>
            <w:tcW w:w="2358"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①预算执行进度=截止预算年度已安排使用的预算项目资金/预算资金*100%。</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②预算调整率=预算调整金额/年初预算金额（应提交经审批调整的用途及原因）</w:t>
            </w:r>
          </w:p>
        </w:tc>
        <w:tc>
          <w:tcPr>
            <w:tcW w:w="2354"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①资金安排在11月底之前分配完毕，计2分；全年执行进度低于95%，不计分。</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②预算调整率低于5%计2分，按比例每上升1%扣0.2分（经审批允许调整的除外），扣完为止。</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4</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已全额拨付，无未经审批的预算调整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资金使用合规性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　未发现资金使用不合规的情况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信息公开</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①项目绩效目标、自评情况是否全面、及时、准确按有关规定予以公开。</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全面、及时、准确公开，计1分，否则不得分。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jc w:val="center"/>
        </w:trPr>
        <w:tc>
          <w:tcPr>
            <w:tcW w:w="638" w:type="dxa"/>
            <w:vMerge w:val="restart"/>
            <w:shd w:val="clear" w:color="auto" w:fill="auto"/>
            <w:vAlign w:val="center"/>
          </w:tcPr>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项目</w:t>
            </w:r>
          </w:p>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过程</w:t>
            </w:r>
          </w:p>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（24分）</w:t>
            </w:r>
          </w:p>
        </w:tc>
        <w:tc>
          <w:tcPr>
            <w:tcW w:w="656" w:type="dxa"/>
            <w:vMerge w:val="restart"/>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组织实施（11分）</w:t>
            </w: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管理制度健全性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①、②、③各计1分。如果有部分单位①、②均不适应，则③为3分，有一项不适应，则③为2分。否则，酌情扣分。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未经政府采购选定路灯所实施该项目，未签订相关合同，扣2分。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制度执行有效性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358" w:type="dxa"/>
            <w:shd w:val="clear" w:color="auto" w:fill="auto"/>
            <w:vAlign w:val="center"/>
          </w:tcPr>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①是否遵守相关法律法规和相关管理规定；</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②项目调整及支出调整手续是否完备；</w:t>
            </w:r>
          </w:p>
          <w:p>
            <w:pPr>
              <w:widowControl/>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③项目合同书、验收报告、技术鉴定等资料是否齐全并及时归档；</w:t>
            </w:r>
          </w:p>
          <w:p>
            <w:pPr>
              <w:widowControl/>
              <w:rPr>
                <w:rFonts w:ascii="宋体" w:hAnsi="宋体" w:eastAsia="宋体" w:cs="Times New Roman"/>
                <w:kern w:val="0"/>
                <w:sz w:val="20"/>
                <w:szCs w:val="20"/>
              </w:rPr>
            </w:pPr>
            <w:r>
              <w:rPr>
                <w:rFonts w:hint="eastAsia" w:ascii="宋体" w:hAnsi="宋体" w:eastAsia="宋体" w:cs="Times New Roman"/>
                <w:kern w:val="0"/>
                <w:sz w:val="20"/>
                <w:szCs w:val="20"/>
              </w:rPr>
              <w:t>④项目实施的人员条件、场地设备、信息支撑等是否落实到位。</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①、②、③、④各0.5分。否则，酌情扣分。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0</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未按相关考核细则进行考核，未对路灯所人员条件、信息支撑等工作进行监督管理，扣2分。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rPr>
              <w:t>重点绩效评价</w:t>
            </w:r>
          </w:p>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整改情况</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对2019年重点绩效评价报告中存在的问题是否进行整改，未整改原因是否进行情况说明</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对2019年重点绩效评价报告中发现的问题全部整改，计2分；2019年反映问题部分整改，计1分；2019年反映问题未整改且无整改情况说明，计0分。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对往年绩效评价、审计问题进行了整改，有整改情况说明。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638" w:type="dxa"/>
            <w:vMerge w:val="continue"/>
            <w:vAlign w:val="center"/>
          </w:tcPr>
          <w:p>
            <w:pPr>
              <w:widowControl/>
              <w:jc w:val="left"/>
              <w:rPr>
                <w:rFonts w:ascii="宋体" w:hAnsi="宋体" w:eastAsia="宋体" w:cs="Times New Roman"/>
                <w:kern w:val="0"/>
                <w:sz w:val="20"/>
                <w:szCs w:val="20"/>
              </w:rPr>
            </w:pPr>
          </w:p>
        </w:tc>
        <w:tc>
          <w:tcPr>
            <w:tcW w:w="656" w:type="dxa"/>
            <w:vMerge w:val="continue"/>
            <w:vAlign w:val="center"/>
          </w:tcPr>
          <w:p>
            <w:pPr>
              <w:widowControl/>
              <w:jc w:val="left"/>
              <w:rPr>
                <w:rFonts w:ascii="宋体" w:hAnsi="宋体" w:eastAsia="宋体" w:cs="Times New Roman"/>
                <w:kern w:val="0"/>
                <w:sz w:val="20"/>
                <w:szCs w:val="20"/>
              </w:rPr>
            </w:pPr>
          </w:p>
        </w:tc>
        <w:tc>
          <w:tcPr>
            <w:tcW w:w="732"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绩效自评合规性</w:t>
            </w:r>
          </w:p>
        </w:tc>
        <w:tc>
          <w:tcPr>
            <w:tcW w:w="56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4</w:t>
            </w:r>
          </w:p>
        </w:tc>
        <w:tc>
          <w:tcPr>
            <w:tcW w:w="2358"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①是否按要求开展绩效自评工作；②绩效自评报告报送及时；③绩效自评报告是否完整，数据是否全面、真实、准确，绩效指标是否细化量化和科学合理，绩效自评反映的问题是否具体，意见是否可行；</w:t>
            </w:r>
          </w:p>
        </w:tc>
        <w:tc>
          <w:tcPr>
            <w:tcW w:w="2354" w:type="dxa"/>
            <w:shd w:val="clear" w:color="auto" w:fill="auto"/>
            <w:vAlign w:val="center"/>
          </w:tcPr>
          <w:p>
            <w:pPr>
              <w:widowControl/>
              <w:rPr>
                <w:rFonts w:ascii="宋体" w:hAnsi="宋体" w:eastAsia="宋体" w:cs="Times New Roman"/>
                <w:kern w:val="0"/>
                <w:sz w:val="20"/>
                <w:szCs w:val="20"/>
              </w:rPr>
            </w:pPr>
            <w:r>
              <w:rPr>
                <w:rFonts w:hint="eastAsia" w:ascii="宋体" w:hAnsi="宋体" w:eastAsia="宋体" w:cs="Times New Roman"/>
                <w:kern w:val="0"/>
                <w:sz w:val="20"/>
                <w:szCs w:val="20"/>
              </w:rPr>
              <w:t>①、②各计1分，③酌情扣分。</w:t>
            </w:r>
          </w:p>
        </w:tc>
        <w:tc>
          <w:tcPr>
            <w:tcW w:w="483"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1516" w:type="dxa"/>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开展了自评工作并及时报送了自评报告，但绩效自评报告数据不够全面、准确，未反映具体问题，扣1分。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638" w:type="dxa"/>
            <w:vMerge w:val="restart"/>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产出（35分）</w:t>
            </w:r>
          </w:p>
        </w:tc>
        <w:tc>
          <w:tcPr>
            <w:tcW w:w="656" w:type="dxa"/>
            <w:vMerge w:val="restart"/>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数量指标（12分）</w:t>
            </w: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路灯维护范围</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考核辖区内路灯设备是否纳入维护范围。全区共计179条主次干道，包括变压器257台、灯杆19498杆、31498盏路灯。</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维护范围达到80%，计4分，每下降5%，扣1分。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已移交21923盏路灯，占比70%；已移交191台变压器，占比74%；已移交12964杆灯，占比66%；综合维护范围达70%，扣1分。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continue"/>
            <w:vAlign w:val="center"/>
          </w:tcPr>
          <w:p>
            <w:pPr>
              <w:widowControl/>
              <w:jc w:val="left"/>
              <w:rPr>
                <w:rFonts w:ascii="宋体" w:hAnsi="宋体" w:eastAsia="宋体" w:cs="Times New Roman"/>
                <w:color w:val="000000"/>
                <w:kern w:val="0"/>
                <w:sz w:val="20"/>
                <w:szCs w:val="20"/>
              </w:rPr>
            </w:pP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路灯亮灯率</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8</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考核路灯是否照明。</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主干道达98%，其他区域达96%，计8分，每下降1%，扣1分。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8</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现场抽查9条路，含未移交2条路，移交的7条路中仅喻家坡西路亮灯率为95%,其余路段亮灯率为99%以上；未移交2条路中，其中潇湘大道（旺旺东路-潇湘北路）亮灯率仅为75%。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时效指标（6分）</w:t>
            </w: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路灯维护及时性</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6</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路灯设备故障是否及时维修。</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灯具故障24小时内修复，灯杆、电缆、变压器等一般故障48小时内修复，计6分，每出现一次未按期修复的，扣0.2分。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1.8</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全年达21次未按期修复，扣4.2分。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restart"/>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质量指标（17分）</w:t>
            </w: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终端受控率</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是否安装智能控制终端，且实际投入使用。</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受控率达95%，计4分，每下降2%，扣1分。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抽查50个智能控制器，其中5个智能控制器在总系统中无电流信号，实地查看均有信号，受控率为90%，扣2分。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continue"/>
            <w:vAlign w:val="center"/>
          </w:tcPr>
          <w:p>
            <w:pPr>
              <w:widowControl/>
              <w:jc w:val="left"/>
              <w:rPr>
                <w:rFonts w:ascii="宋体" w:hAnsi="宋体" w:eastAsia="宋体" w:cs="Times New Roman"/>
                <w:color w:val="000000"/>
                <w:kern w:val="0"/>
                <w:sz w:val="20"/>
                <w:szCs w:val="20"/>
              </w:rPr>
            </w:pP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路灯设备完好率</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路灯及相关设备是否完好、容貌是否整洁。</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①完好率达95%，计2分，每下降1%，扣1分；②无乱涂、乱贴、乱挂等现象，计2分，每发现1次，扣0.5分。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现场抽查箱变均无坏损。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continue"/>
            <w:vAlign w:val="center"/>
          </w:tcPr>
          <w:p>
            <w:pPr>
              <w:widowControl/>
              <w:jc w:val="left"/>
              <w:rPr>
                <w:rFonts w:ascii="宋体" w:hAnsi="宋体" w:eastAsia="宋体" w:cs="Times New Roman"/>
                <w:color w:val="000000"/>
                <w:kern w:val="0"/>
                <w:sz w:val="20"/>
                <w:szCs w:val="20"/>
              </w:rPr>
            </w:pP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异常用电情况</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是否存在异常用电情况。</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无异常用电情况，计4分，发现一处，扣1分。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未发现私接电线的情况。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continue"/>
            <w:vAlign w:val="center"/>
          </w:tcPr>
          <w:p>
            <w:pPr>
              <w:widowControl/>
              <w:jc w:val="left"/>
              <w:rPr>
                <w:rFonts w:ascii="宋体" w:hAnsi="宋体" w:eastAsia="宋体" w:cs="Times New Roman"/>
                <w:color w:val="000000"/>
                <w:kern w:val="0"/>
                <w:sz w:val="20"/>
                <w:szCs w:val="20"/>
              </w:rPr>
            </w:pP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亮化时间</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是否根据季节和气候变化合理调整道路照明设施启闭时间。</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按季节、气候及时调整设备启闭时间，计2分，每发现一处启闭时间不合理的，扣0.5分。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按季节、气候合理调整启闭时间，未发现不合理启闭路段。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continue"/>
            <w:vAlign w:val="center"/>
          </w:tcPr>
          <w:p>
            <w:pPr>
              <w:widowControl/>
              <w:jc w:val="left"/>
              <w:rPr>
                <w:rFonts w:ascii="宋体" w:hAnsi="宋体" w:eastAsia="宋体" w:cs="Times New Roman"/>
                <w:color w:val="000000"/>
                <w:kern w:val="0"/>
                <w:sz w:val="20"/>
                <w:szCs w:val="20"/>
              </w:rPr>
            </w:pP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照明亮度</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路灯光线是否昏暗，是否被遮挡。</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路灯光线无闪烁、光线充足无遮挡，计3分，每发现一处被遮挡或闪烁，扣0.5分。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1.5</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现场抽查9条路段，其中3条路段树木严重遮挡路灯，扣1.5分。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638" w:type="dxa"/>
            <w:vMerge w:val="restart"/>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效益（25分）</w:t>
            </w:r>
          </w:p>
        </w:tc>
        <w:tc>
          <w:tcPr>
            <w:tcW w:w="65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环境效益（4分）</w:t>
            </w: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节能率</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路灯用电量是否节约。</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用电量较上年同期有所降低，计4分；与上年持平，计2分；较上年有所上升，不计分。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抽查8个表计，其中三个有所节约，总用电量较上年同期降低。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restart"/>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社会效益（11分）</w:t>
            </w: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投诉结案率</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5</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投诉案件是否积极妥善处理。</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结案率达95%，计5分，每下降1%，扣1分。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5</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12345投诉案件共计94起，均已结案。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vMerge w:val="continue"/>
            <w:vAlign w:val="center"/>
          </w:tcPr>
          <w:p>
            <w:pPr>
              <w:widowControl/>
              <w:jc w:val="left"/>
              <w:rPr>
                <w:rFonts w:ascii="宋体" w:hAnsi="宋体" w:eastAsia="宋体" w:cs="Times New Roman"/>
                <w:color w:val="000000"/>
                <w:kern w:val="0"/>
                <w:sz w:val="20"/>
                <w:szCs w:val="20"/>
              </w:rPr>
            </w:pP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事故发生率</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6</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是否因路灯不亮发生事故。</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无路灯引发事故，计6分，每发生一次因路灯造成的事故，扣1分。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投诉件中有两起路灯原因发生交通事故，扣2分。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8" w:type="dxa"/>
            <w:vMerge w:val="continue"/>
            <w:vAlign w:val="center"/>
          </w:tcPr>
          <w:p>
            <w:pPr>
              <w:widowControl/>
              <w:jc w:val="left"/>
              <w:rPr>
                <w:rFonts w:ascii="宋体" w:hAnsi="宋体" w:eastAsia="宋体" w:cs="Times New Roman"/>
                <w:color w:val="000000"/>
                <w:kern w:val="0"/>
                <w:sz w:val="20"/>
                <w:szCs w:val="20"/>
              </w:rPr>
            </w:pPr>
          </w:p>
        </w:tc>
        <w:tc>
          <w:tcPr>
            <w:tcW w:w="65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满意度（10分）</w:t>
            </w:r>
          </w:p>
        </w:tc>
        <w:tc>
          <w:tcPr>
            <w:tcW w:w="732"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群众满意度</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10</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周边群众、行人、司机是否满意。</w:t>
            </w:r>
          </w:p>
        </w:tc>
        <w:tc>
          <w:tcPr>
            <w:tcW w:w="2354"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90%-100%（含）计10分，80%-90%（含）计8分，70%-80%（含）计5分，60%-70%（含）计2分，60%以下不计分。</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8</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满意度80%，扣2分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26" w:type="dxa"/>
            <w:gridSpan w:val="3"/>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合计</w:t>
            </w:r>
          </w:p>
        </w:tc>
        <w:tc>
          <w:tcPr>
            <w:tcW w:w="56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100</w:t>
            </w:r>
          </w:p>
        </w:tc>
        <w:tc>
          <w:tcPr>
            <w:tcW w:w="2358"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　</w:t>
            </w:r>
          </w:p>
        </w:tc>
        <w:tc>
          <w:tcPr>
            <w:tcW w:w="2354" w:type="dxa"/>
            <w:shd w:val="clear" w:color="auto" w:fill="auto"/>
            <w:vAlign w:val="center"/>
          </w:tcPr>
          <w:p>
            <w:pPr>
              <w:widowControl/>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　</w:t>
            </w:r>
          </w:p>
        </w:tc>
        <w:tc>
          <w:tcPr>
            <w:tcW w:w="483"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80.3</w:t>
            </w:r>
          </w:p>
        </w:tc>
        <w:tc>
          <w:tcPr>
            <w:tcW w:w="1516" w:type="dxa"/>
            <w:shd w:val="clear" w:color="auto" w:fill="auto"/>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　</w:t>
            </w:r>
          </w:p>
        </w:tc>
      </w:tr>
    </w:tbl>
    <w:p>
      <w:pPr>
        <w:jc w:val="center"/>
        <w:rPr>
          <w:rFonts w:ascii="Times New Roman" w:hAnsi="Times New Roman" w:eastAsia="方正小标宋_GBK" w:cs="Times New Roman"/>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iti SC Light">
    <w:altName w:val="hakuyoxingshu7000"/>
    <w:panose1 w:val="02000000000000000000"/>
    <w:charset w:val="50"/>
    <w:family w:val="auto"/>
    <w:pitch w:val="default"/>
    <w:sig w:usb0="00000000" w:usb1="00000000" w:usb2="00000010" w:usb3="00000000" w:csb0="003E0000" w:csb1="00000000"/>
  </w:font>
  <w:font w:name="hakuyoxingshu7000">
    <w:panose1 w:val="02000600000000000000"/>
    <w:charset w:val="86"/>
    <w:family w:val="auto"/>
    <w:pitch w:val="default"/>
    <w:sig w:usb0="FFFFFFFF" w:usb1="E9FFFFFF" w:usb2="0000003F" w:usb3="00000000" w:csb0="603F00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092DB"/>
    <w:multiLevelType w:val="singleLevel"/>
    <w:tmpl w:val="011092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E7545"/>
    <w:rsid w:val="00016ED3"/>
    <w:rsid w:val="00090280"/>
    <w:rsid w:val="000B2902"/>
    <w:rsid w:val="000C28A5"/>
    <w:rsid w:val="000E6B23"/>
    <w:rsid w:val="00107029"/>
    <w:rsid w:val="001257DB"/>
    <w:rsid w:val="00196777"/>
    <w:rsid w:val="001A06B1"/>
    <w:rsid w:val="001D7270"/>
    <w:rsid w:val="001F6C75"/>
    <w:rsid w:val="00237EB8"/>
    <w:rsid w:val="002546F4"/>
    <w:rsid w:val="0026469E"/>
    <w:rsid w:val="002E433D"/>
    <w:rsid w:val="002F596A"/>
    <w:rsid w:val="00324FDD"/>
    <w:rsid w:val="00362A42"/>
    <w:rsid w:val="00383FB7"/>
    <w:rsid w:val="00396C34"/>
    <w:rsid w:val="00432A34"/>
    <w:rsid w:val="00474AA8"/>
    <w:rsid w:val="00496165"/>
    <w:rsid w:val="00582B76"/>
    <w:rsid w:val="006173CB"/>
    <w:rsid w:val="00635A09"/>
    <w:rsid w:val="006556DA"/>
    <w:rsid w:val="00672549"/>
    <w:rsid w:val="0068043D"/>
    <w:rsid w:val="0069257F"/>
    <w:rsid w:val="006A3FAF"/>
    <w:rsid w:val="00716D57"/>
    <w:rsid w:val="00786A20"/>
    <w:rsid w:val="007C3589"/>
    <w:rsid w:val="007D3B9A"/>
    <w:rsid w:val="007F4EFC"/>
    <w:rsid w:val="00855396"/>
    <w:rsid w:val="008B2BFF"/>
    <w:rsid w:val="0094424F"/>
    <w:rsid w:val="009478D3"/>
    <w:rsid w:val="00961C7D"/>
    <w:rsid w:val="009D4440"/>
    <w:rsid w:val="00A14C0B"/>
    <w:rsid w:val="00A55EB5"/>
    <w:rsid w:val="00A66160"/>
    <w:rsid w:val="00A950F9"/>
    <w:rsid w:val="00BD2DBA"/>
    <w:rsid w:val="00CB233F"/>
    <w:rsid w:val="00CB2A6B"/>
    <w:rsid w:val="00D01B21"/>
    <w:rsid w:val="00D270F0"/>
    <w:rsid w:val="00D72B4D"/>
    <w:rsid w:val="00D911D9"/>
    <w:rsid w:val="00DC70CC"/>
    <w:rsid w:val="00DD7E81"/>
    <w:rsid w:val="00E739A6"/>
    <w:rsid w:val="00EB2411"/>
    <w:rsid w:val="00EE472B"/>
    <w:rsid w:val="00EF4F0F"/>
    <w:rsid w:val="00F25AA0"/>
    <w:rsid w:val="02D7696B"/>
    <w:rsid w:val="138E7545"/>
    <w:rsid w:val="14BF29D3"/>
    <w:rsid w:val="1EFB2892"/>
    <w:rsid w:val="318258AB"/>
    <w:rsid w:val="34867289"/>
    <w:rsid w:val="36226005"/>
    <w:rsid w:val="4666455E"/>
    <w:rsid w:val="47CC3546"/>
    <w:rsid w:val="47D84043"/>
    <w:rsid w:val="5B0331EB"/>
    <w:rsid w:val="5DEF0AC7"/>
    <w:rsid w:val="661C77B6"/>
    <w:rsid w:val="69F835CE"/>
    <w:rsid w:val="6D535020"/>
    <w:rsid w:val="74E07F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3"/>
    <w:qFormat/>
    <w:uiPriority w:val="0"/>
    <w:pPr>
      <w:spacing w:line="360" w:lineRule="exact"/>
      <w:jc w:val="left"/>
    </w:pPr>
    <w:rPr>
      <w:rFonts w:ascii="Times New Roman" w:hAnsi="Times New Roman" w:eastAsia="仿宋_GB2312"/>
      <w:sz w:val="32"/>
    </w:rPr>
  </w:style>
  <w:style w:type="paragraph" w:styleId="3">
    <w:name w:val="Balloon Text"/>
    <w:basedOn w:val="1"/>
    <w:link w:val="11"/>
    <w:qFormat/>
    <w:uiPriority w:val="0"/>
    <w:rPr>
      <w:rFonts w:ascii="Heiti SC Light" w:eastAsia="Heiti SC Light"/>
      <w:sz w:val="18"/>
      <w:szCs w:val="18"/>
    </w:rPr>
  </w:style>
  <w:style w:type="paragraph" w:styleId="4">
    <w:name w:val="Date"/>
    <w:basedOn w:val="1"/>
    <w:next w:val="1"/>
    <w:link w:val="12"/>
    <w:qFormat/>
    <w:uiPriority w:val="0"/>
    <w:pPr>
      <w:ind w:left="100" w:leftChars="2500"/>
    </w:pPr>
    <w:rPr>
      <w:rFonts w:eastAsia="仿宋_GB2312"/>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uiPriority w:val="0"/>
    <w:rPr>
      <w:sz w:val="21"/>
      <w:szCs w:val="21"/>
    </w:rPr>
  </w:style>
  <w:style w:type="character" w:customStyle="1" w:styleId="11">
    <w:name w:val="批注框文本字符"/>
    <w:basedOn w:val="9"/>
    <w:link w:val="3"/>
    <w:qFormat/>
    <w:uiPriority w:val="0"/>
    <w:rPr>
      <w:rFonts w:ascii="Heiti SC Light" w:eastAsia="Heiti SC Light" w:hAnsiTheme="minorHAnsi" w:cstheme="minorBidi"/>
      <w:kern w:val="2"/>
      <w:sz w:val="18"/>
      <w:szCs w:val="18"/>
    </w:rPr>
  </w:style>
  <w:style w:type="character" w:customStyle="1" w:styleId="12">
    <w:name w:val="日期字符"/>
    <w:basedOn w:val="9"/>
    <w:link w:val="4"/>
    <w:qFormat/>
    <w:uiPriority w:val="0"/>
    <w:rPr>
      <w:rFonts w:eastAsia="仿宋_GB2312" w:asciiTheme="minorHAnsi" w:hAnsiTheme="minorHAnsi" w:cstheme="minorBidi"/>
      <w:kern w:val="2"/>
      <w:sz w:val="32"/>
      <w:szCs w:val="32"/>
    </w:rPr>
  </w:style>
  <w:style w:type="character" w:customStyle="1" w:styleId="13">
    <w:name w:val="font0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855\AppData\Roaming\Kingsoft\wps\addons\pool\win-i386\knewfileruby_1.0.0.10\template\wps\0.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工作表1!$B$1</c:f>
              <c:strCache>
                <c:ptCount val="1"/>
                <c:pt idx="0">
                  <c:v>文源西路</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工作表1!$B$2:$B$5</c:f>
              <c:numCache>
                <c:formatCode>@</c:formatCode>
                <c:ptCount val="4"/>
                <c:pt idx="0">
                  <c:v>51211</c:v>
                </c:pt>
                <c:pt idx="1">
                  <c:v>45887</c:v>
                </c:pt>
                <c:pt idx="2">
                  <c:v>41824.02</c:v>
                </c:pt>
                <c:pt idx="3">
                  <c:v>36760.35</c:v>
                </c:pt>
              </c:numCache>
            </c:numRef>
          </c:val>
          <c:smooth val="0"/>
        </c:ser>
        <c:ser>
          <c:idx val="1"/>
          <c:order val="1"/>
          <c:tx>
            <c:strRef>
              <c:f>工作表1!$C$1</c:f>
              <c:strCache>
                <c:ptCount val="1"/>
                <c:pt idx="0">
                  <c:v>高塘岭镇文源路_x000d_文源东路</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工作表1!$C$2:$C$5</c:f>
              <c:numCache>
                <c:formatCode>@</c:formatCode>
                <c:ptCount val="4"/>
                <c:pt idx="0">
                  <c:v>84538</c:v>
                </c:pt>
                <c:pt idx="1">
                  <c:v>86082</c:v>
                </c:pt>
                <c:pt idx="2">
                  <c:v>64607.53</c:v>
                </c:pt>
                <c:pt idx="3">
                  <c:v>57969.04</c:v>
                </c:pt>
              </c:numCache>
            </c:numRef>
          </c:val>
          <c:smooth val="0"/>
        </c:ser>
        <c:ser>
          <c:idx val="2"/>
          <c:order val="2"/>
          <c:tx>
            <c:strRef>
              <c:f>工作表1!$D$1</c:f>
              <c:strCache>
                <c:ptCount val="1"/>
                <c:pt idx="0">
                  <c:v>望府路</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工作表1!$D$2:$D$5</c:f>
              <c:numCache>
                <c:formatCode>@</c:formatCode>
                <c:ptCount val="4"/>
                <c:pt idx="0">
                  <c:v>102679</c:v>
                </c:pt>
                <c:pt idx="1">
                  <c:v>103283</c:v>
                </c:pt>
                <c:pt idx="2">
                  <c:v>80626.81</c:v>
                </c:pt>
                <c:pt idx="3">
                  <c:v>71599.79</c:v>
                </c:pt>
              </c:numCache>
            </c:numRef>
          </c:val>
          <c:smooth val="0"/>
        </c:ser>
        <c:ser>
          <c:idx val="3"/>
          <c:order val="3"/>
          <c:tx>
            <c:strRef>
              <c:f>工作表1!$E$1</c:f>
              <c:strCache>
                <c:ptCount val="1"/>
                <c:pt idx="0">
                  <c:v>高塘岭大道</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工作表1!$E$2:$E$5</c:f>
              <c:numCache>
                <c:formatCode>@</c:formatCode>
                <c:ptCount val="4"/>
                <c:pt idx="0">
                  <c:v>110487</c:v>
                </c:pt>
                <c:pt idx="1">
                  <c:v>110991</c:v>
                </c:pt>
                <c:pt idx="2">
                  <c:v>86541.8</c:v>
                </c:pt>
                <c:pt idx="3">
                  <c:v>90530.78</c:v>
                </c:pt>
              </c:numCache>
            </c:numRef>
          </c:val>
          <c:smooth val="0"/>
        </c:ser>
        <c:ser>
          <c:idx val="4"/>
          <c:order val="4"/>
          <c:tx>
            <c:strRef>
              <c:f>工作表1!$F$1</c:f>
              <c:strCache>
                <c:ptCount val="1"/>
                <c:pt idx="0">
                  <c:v>取忠路、高塘岭大道、新塘路</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工作表1!$F$2:$F$5</c:f>
              <c:numCache>
                <c:formatCode>@</c:formatCode>
                <c:ptCount val="4"/>
                <c:pt idx="0">
                  <c:v>215224</c:v>
                </c:pt>
                <c:pt idx="1">
                  <c:v>201434</c:v>
                </c:pt>
                <c:pt idx="2">
                  <c:v>175817.46</c:v>
                </c:pt>
                <c:pt idx="3">
                  <c:v>155494.67</c:v>
                </c:pt>
              </c:numCache>
            </c:numRef>
          </c:val>
          <c:smooth val="0"/>
        </c:ser>
        <c:ser>
          <c:idx val="5"/>
          <c:order val="5"/>
          <c:tx>
            <c:strRef>
              <c:f>工作表1!$G$1</c:f>
              <c:strCache>
                <c:ptCount val="1"/>
                <c:pt idx="0">
                  <c:v>高裕中路、高裕北路、体育路</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工作表1!$G$2:$G$5</c:f>
              <c:numCache>
                <c:formatCode>@</c:formatCode>
                <c:ptCount val="4"/>
                <c:pt idx="0">
                  <c:v>242707</c:v>
                </c:pt>
                <c:pt idx="1">
                  <c:v>257661</c:v>
                </c:pt>
                <c:pt idx="2">
                  <c:v>197511.38</c:v>
                </c:pt>
                <c:pt idx="3">
                  <c:v>183640.65</c:v>
                </c:pt>
              </c:numCache>
            </c:numRef>
          </c:val>
          <c:smooth val="0"/>
        </c:ser>
        <c:ser>
          <c:idx val="6"/>
          <c:order val="6"/>
          <c:tx>
            <c:strRef>
              <c:f>工作表1!$H$1</c:f>
              <c:strCache>
                <c:ptCount val="1"/>
                <c:pt idx="0">
                  <c:v>金融街，育才路，体育东路</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工作表1!$H$2:$H$5</c:f>
              <c:numCache>
                <c:formatCode>@</c:formatCode>
                <c:ptCount val="4"/>
                <c:pt idx="0">
                  <c:v>126742</c:v>
                </c:pt>
                <c:pt idx="1">
                  <c:v>138404</c:v>
                </c:pt>
                <c:pt idx="2">
                  <c:v>110174.3</c:v>
                </c:pt>
                <c:pt idx="3">
                  <c:v>103403.23</c:v>
                </c:pt>
              </c:numCache>
            </c:numRef>
          </c:val>
          <c:smooth val="0"/>
        </c:ser>
        <c:ser>
          <c:idx val="7"/>
          <c:order val="7"/>
          <c:tx>
            <c:strRef>
              <c:f>工作表1!$I$1</c:f>
              <c:strCache>
                <c:ptCount val="1"/>
                <c:pt idx="0">
                  <c:v>望府路2</c:v>
                </c:pt>
              </c:strCache>
            </c:strRef>
          </c:tx>
          <c:marker>
            <c:symbol val="none"/>
          </c:marker>
          <c:dLbls>
            <c:delete val="1"/>
          </c:dLbls>
          <c:cat>
            <c:strRef>
              <c:f>工作表1!$A$2:$A$5</c:f>
              <c:strCache>
                <c:ptCount val="4"/>
                <c:pt idx="0">
                  <c:v>2018年_x000d_总电量</c:v>
                </c:pt>
                <c:pt idx="1">
                  <c:v>2019年_x000d_总电量</c:v>
                </c:pt>
                <c:pt idx="2">
                  <c:v>2018年_x000d_总电费</c:v>
                </c:pt>
                <c:pt idx="3">
                  <c:v>2019年_x000d_总电费</c:v>
                </c:pt>
              </c:strCache>
            </c:strRef>
          </c:cat>
          <c:val>
            <c:numRef>
              <c:f>工作表1!$I$2:$I$5</c:f>
              <c:numCache>
                <c:formatCode>@</c:formatCode>
                <c:ptCount val="4"/>
                <c:pt idx="0">
                  <c:v>150973</c:v>
                </c:pt>
                <c:pt idx="1">
                  <c:v>97208</c:v>
                </c:pt>
                <c:pt idx="2">
                  <c:v>120827.65</c:v>
                </c:pt>
                <c:pt idx="3">
                  <c:v>69936.2</c:v>
                </c:pt>
              </c:numCache>
            </c:numRef>
          </c:val>
          <c:smooth val="0"/>
        </c:ser>
        <c:dLbls>
          <c:showLegendKey val="0"/>
          <c:showVal val="0"/>
          <c:showCatName val="0"/>
          <c:showSerName val="0"/>
          <c:showPercent val="0"/>
          <c:showBubbleSize val="0"/>
        </c:dLbls>
        <c:marker val="0"/>
        <c:smooth val="0"/>
        <c:axId val="2128187416"/>
        <c:axId val="2137132936"/>
      </c:lineChart>
      <c:catAx>
        <c:axId val="21281874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7132936"/>
        <c:crosses val="autoZero"/>
        <c:auto val="1"/>
        <c:lblAlgn val="ctr"/>
        <c:lblOffset val="100"/>
        <c:noMultiLvlLbl val="0"/>
      </c:catAx>
      <c:valAx>
        <c:axId val="2137132936"/>
        <c:scaling>
          <c:orientation val="minMax"/>
        </c:scaling>
        <c:delete val="0"/>
        <c:axPos val="l"/>
        <c:majorGridlines/>
        <c:numFmt formatCode="@"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8187416"/>
        <c:crosses val="autoZero"/>
        <c:crossBetween val="between"/>
      </c:valAx>
    </c:plotArea>
    <c:legend>
      <c:legendPos val="r"/>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\Users\35855\AppData\Roaming\Kingsoft\wps\addons\pool\win-i386\knewfileruby_1.0.0.10\template\wps\0.docx</Template>
  <Pages>7</Pages>
  <Words>1569</Words>
  <Characters>8944</Characters>
  <Lines>74</Lines>
  <Paragraphs>20</Paragraphs>
  <TotalTime>48</TotalTime>
  <ScaleCrop>false</ScaleCrop>
  <LinksUpToDate>false</LinksUpToDate>
  <CharactersWithSpaces>10493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2020-06-01T05:47:00Z</dcterms:created>
  <dc:creator>龙玲娜</dc:creator>
  <cp:lastModifiedBy>Administrator</cp:lastModifiedBy>
  <dcterms:modified xsi:type="dcterms:W3CDTF">2022-07-19T02:04:59Z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C5D1630B4A6E4CFC85EF8046335A8B98</vt:lpwstr>
  </property>
</Properties>
</file>