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楷体_GB2312"/>
        </w:rPr>
      </w:pPr>
      <w:r>
        <w:rPr>
          <w:rFonts w:hint="eastAsia" w:ascii="Times New Roman" w:hAnsi="Times New Roman" w:eastAsia="楷体_GB2312"/>
        </w:rPr>
        <w:t>附件3</w:t>
      </w:r>
    </w:p>
    <w:p>
      <w:pPr>
        <w:widowControl/>
        <w:spacing w:line="240" w:lineRule="auto"/>
        <w:jc w:val="center"/>
        <w:rPr>
          <w:rFonts w:hAnsi="Times New Roman"/>
          <w:kern w:val="0"/>
          <w:sz w:val="24"/>
          <w:szCs w:val="24"/>
        </w:rPr>
      </w:pPr>
      <w:r>
        <w:rPr>
          <w:rFonts w:ascii="Times New Roman" w:hAnsi="Times New Roman" w:eastAsia="方正小标宋简体"/>
          <w:kern w:val="0"/>
          <w:sz w:val="44"/>
          <w:szCs w:val="44"/>
        </w:rPr>
        <w:t xml:space="preserve">    </w:t>
      </w:r>
      <w:r>
        <w:rPr>
          <w:rFonts w:hint="eastAsia" w:ascii="Times New Roman" w:hAnsi="Times New Roman" w:eastAsia="方正小标宋简体"/>
          <w:kern w:val="0"/>
          <w:sz w:val="44"/>
          <w:szCs w:val="44"/>
          <w:u w:val="single"/>
          <w:lang w:eastAsia="zh-CN"/>
        </w:rPr>
        <w:t>长沙市望城区工务局</w:t>
      </w:r>
      <w:r>
        <w:rPr>
          <w:rFonts w:hint="eastAsia" w:ascii="Times New Roman" w:hAnsi="Times New Roman" w:eastAsia="方正小标宋简体"/>
          <w:kern w:val="0"/>
          <w:sz w:val="44"/>
          <w:szCs w:val="44"/>
        </w:rPr>
        <w:t>部门整体支出绩效评价基础数据表</w:t>
      </w:r>
    </w:p>
    <w:p>
      <w:pPr>
        <w:widowControl/>
        <w:tabs>
          <w:tab w:val="left" w:pos="3611"/>
          <w:tab w:val="left" w:pos="4791"/>
          <w:tab w:val="left" w:pos="5951"/>
          <w:tab w:val="left" w:pos="7071"/>
          <w:tab w:val="left" w:pos="8191"/>
          <w:tab w:val="left" w:pos="9311"/>
        </w:tabs>
        <w:spacing w:line="240" w:lineRule="auto"/>
        <w:jc w:val="left"/>
        <w:rPr>
          <w:rFonts w:hAnsi="Times New Roman"/>
          <w:kern w:val="0"/>
          <w:sz w:val="24"/>
          <w:szCs w:val="24"/>
        </w:rPr>
      </w:pPr>
      <w:r>
        <w:rPr>
          <w:rFonts w:hint="eastAsia" w:hAnsi="Times New Roman"/>
          <w:kern w:val="0"/>
          <w:sz w:val="24"/>
          <w:szCs w:val="24"/>
        </w:rPr>
        <w:t>填报单位：</w:t>
      </w:r>
      <w:r>
        <w:rPr>
          <w:rFonts w:hint="eastAsia" w:hAnsi="Times New Roman"/>
          <w:kern w:val="0"/>
          <w:sz w:val="24"/>
          <w:szCs w:val="24"/>
          <w:lang w:eastAsia="zh-CN"/>
        </w:rPr>
        <w:t>长沙市望城区工务局</w:t>
      </w:r>
      <w:r>
        <w:rPr>
          <w:rFonts w:hAnsi="Times New Roman"/>
          <w:kern w:val="0"/>
          <w:sz w:val="24"/>
          <w:szCs w:val="24"/>
        </w:rPr>
        <w:tab/>
      </w:r>
      <w:r>
        <w:rPr>
          <w:rFonts w:hAnsi="Times New Roman"/>
          <w:kern w:val="0"/>
          <w:sz w:val="24"/>
          <w:szCs w:val="24"/>
        </w:rPr>
        <w:tab/>
      </w:r>
      <w:r>
        <w:rPr>
          <w:rFonts w:hAnsi="Times New Roman"/>
          <w:kern w:val="0"/>
          <w:sz w:val="24"/>
          <w:szCs w:val="24"/>
        </w:rPr>
        <w:tab/>
      </w:r>
      <w:r>
        <w:rPr>
          <w:rFonts w:hAnsi="Times New Roman"/>
          <w:kern w:val="0"/>
          <w:sz w:val="24"/>
          <w:szCs w:val="24"/>
        </w:rPr>
        <w:tab/>
      </w:r>
      <w:r>
        <w:rPr>
          <w:rFonts w:hAnsi="Times New Roman"/>
          <w:kern w:val="0"/>
          <w:sz w:val="24"/>
          <w:szCs w:val="24"/>
        </w:rPr>
        <w:tab/>
      </w:r>
      <w:r>
        <w:rPr>
          <w:rFonts w:hAnsi="Times New Roman"/>
          <w:kern w:val="0"/>
          <w:sz w:val="24"/>
          <w:szCs w:val="24"/>
        </w:rPr>
        <w:tab/>
      </w:r>
    </w:p>
    <w:tbl>
      <w:tblPr>
        <w:tblStyle w:val="6"/>
        <w:tblW w:w="9878" w:type="dxa"/>
        <w:jc w:val="center"/>
        <w:tblLayout w:type="fixed"/>
        <w:tblCellMar>
          <w:top w:w="0" w:type="dxa"/>
          <w:left w:w="108" w:type="dxa"/>
          <w:bottom w:w="0" w:type="dxa"/>
          <w:right w:w="108" w:type="dxa"/>
        </w:tblCellMar>
      </w:tblPr>
      <w:tblGrid>
        <w:gridCol w:w="3480"/>
        <w:gridCol w:w="936"/>
        <w:gridCol w:w="936"/>
        <w:gridCol w:w="987"/>
        <w:gridCol w:w="1217"/>
        <w:gridCol w:w="1187"/>
        <w:gridCol w:w="1135"/>
      </w:tblGrid>
      <w:tr>
        <w:tblPrEx>
          <w:tblCellMar>
            <w:top w:w="0" w:type="dxa"/>
            <w:left w:w="108" w:type="dxa"/>
            <w:bottom w:w="0" w:type="dxa"/>
            <w:right w:w="108" w:type="dxa"/>
          </w:tblCellMar>
        </w:tblPrEx>
        <w:trPr>
          <w:trHeight w:val="525" w:hRule="atLeast"/>
          <w:jc w:val="center"/>
        </w:trPr>
        <w:tc>
          <w:tcPr>
            <w:tcW w:w="34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财政供养人员情况</w:t>
            </w:r>
          </w:p>
        </w:tc>
        <w:tc>
          <w:tcPr>
            <w:tcW w:w="1872"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编制数</w:t>
            </w:r>
          </w:p>
        </w:tc>
        <w:tc>
          <w:tcPr>
            <w:tcW w:w="220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bCs/>
                <w:kern w:val="0"/>
                <w:sz w:val="24"/>
                <w:szCs w:val="24"/>
              </w:rPr>
            </w:pPr>
            <w:r>
              <w:rPr>
                <w:rFonts w:ascii="Times New Roman" w:hAnsi="Times New Roman"/>
                <w:bCs/>
                <w:kern w:val="0"/>
                <w:sz w:val="24"/>
                <w:szCs w:val="24"/>
              </w:rPr>
              <w:t>20</w:t>
            </w:r>
            <w:r>
              <w:rPr>
                <w:rFonts w:hint="eastAsia" w:ascii="Times New Roman" w:hAnsi="Times New Roman"/>
                <w:bCs/>
                <w:kern w:val="0"/>
                <w:sz w:val="24"/>
                <w:szCs w:val="24"/>
              </w:rPr>
              <w:t>18年实际</w:t>
            </w:r>
          </w:p>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在职人数</w:t>
            </w:r>
          </w:p>
        </w:tc>
        <w:tc>
          <w:tcPr>
            <w:tcW w:w="2322"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控制率</w:t>
            </w:r>
          </w:p>
        </w:tc>
      </w:tr>
      <w:tr>
        <w:tblPrEx>
          <w:tblCellMar>
            <w:top w:w="0" w:type="dxa"/>
            <w:left w:w="108" w:type="dxa"/>
            <w:bottom w:w="0" w:type="dxa"/>
            <w:right w:w="108" w:type="dxa"/>
          </w:tblCellMar>
        </w:tblPrEx>
        <w:trPr>
          <w:trHeight w:val="525" w:hRule="atLeast"/>
          <w:jc w:val="center"/>
        </w:trPr>
        <w:tc>
          <w:tcPr>
            <w:tcW w:w="34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p>
        </w:tc>
        <w:tc>
          <w:tcPr>
            <w:tcW w:w="1872"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13</w:t>
            </w:r>
            <w:r>
              <w:rPr>
                <w:rFonts w:hint="eastAsia" w:ascii="Times New Roman" w:hAnsi="Times New Roman"/>
                <w:kern w:val="0"/>
                <w:sz w:val="24"/>
                <w:szCs w:val="24"/>
              </w:rPr>
              <w:t>　</w:t>
            </w:r>
          </w:p>
        </w:tc>
        <w:tc>
          <w:tcPr>
            <w:tcW w:w="220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ascii="Times New Roman" w:hAnsi="Times New Roman" w:eastAsia="仿宋_GB2312"/>
                <w:kern w:val="0"/>
                <w:sz w:val="24"/>
                <w:szCs w:val="24"/>
                <w:lang w:val="en-US" w:eastAsia="zh-CN"/>
              </w:rPr>
            </w:pPr>
            <w:r>
              <w:rPr>
                <w:rFonts w:hint="eastAsia" w:ascii="Times New Roman" w:hAnsi="Times New Roman"/>
                <w:kern w:val="0"/>
                <w:sz w:val="24"/>
                <w:szCs w:val="24"/>
                <w:lang w:val="en-US" w:eastAsia="zh-CN"/>
              </w:rPr>
              <w:t>11</w:t>
            </w:r>
          </w:p>
        </w:tc>
        <w:tc>
          <w:tcPr>
            <w:tcW w:w="2322"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84.62%</w:t>
            </w:r>
            <w:r>
              <w:rPr>
                <w:rFonts w:hint="eastAsia" w:ascii="Times New Roman" w:hAnsi="Times New Roman"/>
                <w:kern w:val="0"/>
                <w:sz w:val="24"/>
                <w:szCs w:val="24"/>
              </w:rPr>
              <w:t>　</w:t>
            </w:r>
          </w:p>
        </w:tc>
      </w:tr>
      <w:tr>
        <w:tblPrEx>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经费控制情况</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bCs/>
                <w:kern w:val="0"/>
                <w:sz w:val="24"/>
                <w:szCs w:val="24"/>
              </w:rPr>
            </w:pPr>
            <w:r>
              <w:rPr>
                <w:rFonts w:ascii="Times New Roman" w:hAnsi="Times New Roman"/>
                <w:bCs/>
                <w:kern w:val="0"/>
                <w:sz w:val="24"/>
                <w:szCs w:val="24"/>
              </w:rPr>
              <w:t>201</w:t>
            </w:r>
            <w:r>
              <w:rPr>
                <w:rFonts w:hint="eastAsia" w:ascii="Times New Roman" w:hAnsi="Times New Roman"/>
                <w:bCs/>
                <w:kern w:val="0"/>
                <w:sz w:val="24"/>
                <w:szCs w:val="24"/>
              </w:rPr>
              <w:t>7年决算数</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bCs/>
                <w:kern w:val="0"/>
                <w:sz w:val="24"/>
                <w:szCs w:val="24"/>
              </w:rPr>
            </w:pPr>
            <w:r>
              <w:rPr>
                <w:rFonts w:ascii="Times New Roman" w:hAnsi="Times New Roman"/>
                <w:bCs/>
                <w:kern w:val="0"/>
                <w:sz w:val="24"/>
                <w:szCs w:val="24"/>
              </w:rPr>
              <w:t>201</w:t>
            </w:r>
            <w:r>
              <w:rPr>
                <w:rFonts w:hint="eastAsia" w:ascii="Times New Roman" w:hAnsi="Times New Roman"/>
                <w:bCs/>
                <w:kern w:val="0"/>
                <w:sz w:val="24"/>
                <w:szCs w:val="24"/>
              </w:rPr>
              <w:t>8年预算数</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bCs/>
                <w:kern w:val="0"/>
                <w:sz w:val="24"/>
                <w:szCs w:val="24"/>
              </w:rPr>
            </w:pPr>
            <w:r>
              <w:rPr>
                <w:rFonts w:ascii="Times New Roman" w:hAnsi="Times New Roman"/>
                <w:bCs/>
                <w:kern w:val="0"/>
                <w:sz w:val="24"/>
                <w:szCs w:val="24"/>
              </w:rPr>
              <w:t>201</w:t>
            </w:r>
            <w:r>
              <w:rPr>
                <w:rFonts w:hint="eastAsia" w:ascii="Times New Roman" w:hAnsi="Times New Roman"/>
                <w:bCs/>
                <w:kern w:val="0"/>
                <w:sz w:val="24"/>
                <w:szCs w:val="24"/>
              </w:rPr>
              <w:t>8年决算数</w:t>
            </w:r>
          </w:p>
        </w:tc>
      </w:tr>
      <w:tr>
        <w:tblPrEx>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hint="eastAsia" w:ascii="Times New Roman" w:hAnsi="Times New Roman"/>
                <w:kern w:val="0"/>
                <w:sz w:val="24"/>
                <w:szCs w:val="24"/>
              </w:rPr>
              <w:t>三公经费</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83960</w:t>
            </w:r>
            <w:r>
              <w:rPr>
                <w:rFonts w:hint="eastAsia" w:ascii="Times New Roman" w:hAnsi="Times New Roman"/>
                <w:kern w:val="0"/>
                <w:sz w:val="24"/>
                <w:szCs w:val="24"/>
              </w:rPr>
              <w:t>　</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150000</w:t>
            </w:r>
            <w:r>
              <w:rPr>
                <w:rFonts w:hint="eastAsia" w:ascii="Times New Roman" w:hAnsi="Times New Roman"/>
                <w:kern w:val="0"/>
                <w:sz w:val="24"/>
                <w:szCs w:val="24"/>
              </w:rPr>
              <w:t>　</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4785.6</w:t>
            </w:r>
            <w:r>
              <w:rPr>
                <w:rFonts w:hint="eastAsia" w:ascii="Times New Roman" w:hAnsi="Times New Roman"/>
                <w:kern w:val="0"/>
                <w:sz w:val="24"/>
                <w:szCs w:val="24"/>
              </w:rPr>
              <w:t>　</w:t>
            </w:r>
          </w:p>
        </w:tc>
      </w:tr>
      <w:tr>
        <w:tblPrEx>
          <w:tblCellMar>
            <w:top w:w="0" w:type="dxa"/>
            <w:left w:w="108" w:type="dxa"/>
            <w:bottom w:w="0" w:type="dxa"/>
            <w:right w:w="108" w:type="dxa"/>
          </w:tblCellMar>
        </w:tblPrEx>
        <w:trPr>
          <w:trHeight w:val="39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ascii="Times New Roman" w:hAnsi="Times New Roman"/>
                <w:kern w:val="0"/>
                <w:sz w:val="24"/>
                <w:szCs w:val="24"/>
              </w:rPr>
              <w:t xml:space="preserve">   1</w:t>
            </w:r>
            <w:r>
              <w:rPr>
                <w:rFonts w:hint="eastAsia" w:ascii="Times New Roman" w:hAnsi="Times New Roman"/>
                <w:kern w:val="0"/>
                <w:sz w:val="24"/>
                <w:szCs w:val="24"/>
              </w:rPr>
              <w:t>、公务用车购置和维护经费</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0</w:t>
            </w:r>
            <w:r>
              <w:rPr>
                <w:rFonts w:hint="eastAsia" w:ascii="Times New Roman" w:hAnsi="Times New Roman"/>
                <w:kern w:val="0"/>
                <w:sz w:val="24"/>
                <w:szCs w:val="24"/>
              </w:rPr>
              <w:t>　</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Times New Roman" w:hAnsi="Times New Roman" w:eastAsia="仿宋_GB2312"/>
                <w:kern w:val="0"/>
                <w:sz w:val="24"/>
                <w:szCs w:val="24"/>
                <w:lang w:eastAsia="zh-CN"/>
              </w:rPr>
            </w:pPr>
            <w:r>
              <w:rPr>
                <w:rFonts w:hint="eastAsia" w:ascii="Times New Roman" w:hAnsi="Times New Roman"/>
                <w:kern w:val="0"/>
                <w:sz w:val="24"/>
                <w:szCs w:val="24"/>
                <w:lang w:val="en-US" w:eastAsia="zh-CN"/>
              </w:rPr>
              <w:t>0</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Times New Roman" w:hAnsi="Times New Roman" w:eastAsia="仿宋_GB2312"/>
                <w:kern w:val="0"/>
                <w:sz w:val="24"/>
                <w:szCs w:val="24"/>
                <w:lang w:eastAsia="zh-CN"/>
              </w:rPr>
            </w:pPr>
            <w:r>
              <w:rPr>
                <w:rFonts w:hint="eastAsia" w:ascii="Times New Roman" w:hAnsi="Times New Roman"/>
                <w:kern w:val="0"/>
                <w:sz w:val="24"/>
                <w:szCs w:val="24"/>
                <w:lang w:val="en-US" w:eastAsia="zh-CN"/>
              </w:rPr>
              <w:t>0</w:t>
            </w:r>
          </w:p>
        </w:tc>
      </w:tr>
      <w:tr>
        <w:tblPrEx>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ascii="Times New Roman" w:hAnsi="Times New Roman"/>
                <w:kern w:val="0"/>
                <w:sz w:val="24"/>
                <w:szCs w:val="24"/>
              </w:rPr>
              <w:t xml:space="preserve">       </w:t>
            </w:r>
            <w:r>
              <w:rPr>
                <w:rFonts w:hint="eastAsia" w:ascii="Times New Roman" w:hAnsi="Times New Roman"/>
                <w:kern w:val="0"/>
                <w:sz w:val="24"/>
                <w:szCs w:val="24"/>
              </w:rPr>
              <w:t>其中：公车购置</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　</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　</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　</w:t>
            </w:r>
          </w:p>
        </w:tc>
      </w:tr>
      <w:tr>
        <w:tblPrEx>
          <w:tblCellMar>
            <w:top w:w="0" w:type="dxa"/>
            <w:left w:w="108" w:type="dxa"/>
            <w:bottom w:w="0" w:type="dxa"/>
            <w:right w:w="108" w:type="dxa"/>
          </w:tblCellMar>
        </w:tblPrEx>
        <w:trPr>
          <w:trHeight w:val="296"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ascii="Times New Roman" w:hAnsi="Times New Roman"/>
                <w:kern w:val="0"/>
                <w:sz w:val="24"/>
                <w:szCs w:val="24"/>
              </w:rPr>
              <w:t xml:space="preserve">             </w:t>
            </w:r>
            <w:r>
              <w:rPr>
                <w:rFonts w:hint="eastAsia" w:ascii="Times New Roman" w:hAnsi="Times New Roman"/>
                <w:kern w:val="0"/>
                <w:sz w:val="24"/>
                <w:szCs w:val="24"/>
              </w:rPr>
              <w:t>公车运行维护</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　</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　</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　</w:t>
            </w:r>
          </w:p>
        </w:tc>
      </w:tr>
      <w:tr>
        <w:tblPrEx>
          <w:tblCellMar>
            <w:top w:w="0" w:type="dxa"/>
            <w:left w:w="108" w:type="dxa"/>
            <w:bottom w:w="0" w:type="dxa"/>
            <w:right w:w="108" w:type="dxa"/>
          </w:tblCellMar>
        </w:tblPrEx>
        <w:trPr>
          <w:trHeight w:val="31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ascii="Times New Roman" w:hAnsi="Times New Roman"/>
                <w:kern w:val="0"/>
                <w:sz w:val="24"/>
                <w:szCs w:val="24"/>
              </w:rPr>
              <w:t xml:space="preserve">   2</w:t>
            </w:r>
            <w:r>
              <w:rPr>
                <w:rFonts w:hint="eastAsia" w:ascii="Times New Roman" w:hAnsi="Times New Roman"/>
                <w:kern w:val="0"/>
                <w:sz w:val="24"/>
                <w:szCs w:val="24"/>
              </w:rPr>
              <w:t>、出国经费</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0</w:t>
            </w:r>
            <w:r>
              <w:rPr>
                <w:rFonts w:hint="eastAsia" w:ascii="Times New Roman" w:hAnsi="Times New Roman"/>
                <w:kern w:val="0"/>
                <w:sz w:val="24"/>
                <w:szCs w:val="24"/>
              </w:rPr>
              <w:t>　</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Times New Roman" w:hAnsi="Times New Roman" w:eastAsia="仿宋_GB2312"/>
                <w:kern w:val="0"/>
                <w:sz w:val="24"/>
                <w:szCs w:val="24"/>
                <w:lang w:eastAsia="zh-CN"/>
              </w:rPr>
            </w:pPr>
            <w:r>
              <w:rPr>
                <w:rFonts w:hint="eastAsia" w:ascii="Times New Roman" w:hAnsi="Times New Roman"/>
                <w:kern w:val="0"/>
                <w:sz w:val="24"/>
                <w:szCs w:val="24"/>
                <w:lang w:val="en-US" w:eastAsia="zh-CN"/>
              </w:rPr>
              <w:t>0</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Times New Roman" w:hAnsi="Times New Roman" w:eastAsia="仿宋_GB2312"/>
                <w:kern w:val="0"/>
                <w:sz w:val="24"/>
                <w:szCs w:val="24"/>
                <w:lang w:eastAsia="zh-CN"/>
              </w:rPr>
            </w:pPr>
            <w:r>
              <w:rPr>
                <w:rFonts w:hint="eastAsia" w:ascii="Times New Roman" w:hAnsi="Times New Roman"/>
                <w:kern w:val="0"/>
                <w:sz w:val="24"/>
                <w:szCs w:val="24"/>
                <w:lang w:val="en-US" w:eastAsia="zh-CN"/>
              </w:rPr>
              <w:t>0</w:t>
            </w:r>
          </w:p>
        </w:tc>
      </w:tr>
      <w:tr>
        <w:tblPrEx>
          <w:tblCellMar>
            <w:top w:w="0" w:type="dxa"/>
            <w:left w:w="108" w:type="dxa"/>
            <w:bottom w:w="0" w:type="dxa"/>
            <w:right w:w="108" w:type="dxa"/>
          </w:tblCellMar>
        </w:tblPrEx>
        <w:trPr>
          <w:trHeight w:val="326"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ascii="Times New Roman" w:hAnsi="Times New Roman"/>
                <w:kern w:val="0"/>
                <w:sz w:val="24"/>
                <w:szCs w:val="24"/>
              </w:rPr>
              <w:t xml:space="preserve">   3</w:t>
            </w:r>
            <w:r>
              <w:rPr>
                <w:rFonts w:hint="eastAsia" w:ascii="Times New Roman" w:hAnsi="Times New Roman"/>
                <w:kern w:val="0"/>
                <w:sz w:val="24"/>
                <w:szCs w:val="24"/>
              </w:rPr>
              <w:t>、公务接待</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83960</w:t>
            </w:r>
            <w:r>
              <w:rPr>
                <w:rFonts w:hint="eastAsia" w:ascii="Times New Roman" w:hAnsi="Times New Roman"/>
                <w:kern w:val="0"/>
                <w:sz w:val="24"/>
                <w:szCs w:val="24"/>
              </w:rPr>
              <w:t>　</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default" w:ascii="Times New Roman" w:hAnsi="Times New Roman" w:eastAsia="仿宋_GB2312"/>
                <w:kern w:val="0"/>
                <w:sz w:val="24"/>
                <w:szCs w:val="24"/>
                <w:lang w:val="en-US" w:eastAsia="zh-CN"/>
              </w:rPr>
            </w:pPr>
            <w:r>
              <w:rPr>
                <w:rFonts w:hint="eastAsia" w:ascii="Times New Roman" w:hAnsi="Times New Roman"/>
                <w:kern w:val="0"/>
                <w:sz w:val="24"/>
                <w:szCs w:val="24"/>
                <w:lang w:val="en-US" w:eastAsia="zh-CN"/>
              </w:rPr>
              <w:t>150000</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default" w:ascii="Times New Roman" w:hAnsi="Times New Roman" w:eastAsia="仿宋_GB2312"/>
                <w:kern w:val="0"/>
                <w:sz w:val="24"/>
                <w:szCs w:val="24"/>
                <w:lang w:val="en-US" w:eastAsia="zh-CN"/>
              </w:rPr>
            </w:pPr>
            <w:r>
              <w:rPr>
                <w:rFonts w:hint="eastAsia" w:ascii="Times New Roman" w:hAnsi="Times New Roman"/>
                <w:kern w:val="0"/>
                <w:sz w:val="24"/>
                <w:szCs w:val="24"/>
                <w:lang w:val="en-US" w:eastAsia="zh-CN"/>
              </w:rPr>
              <w:t>4785.6</w:t>
            </w:r>
          </w:p>
        </w:tc>
      </w:tr>
      <w:tr>
        <w:tblPrEx>
          <w:tblCellMar>
            <w:top w:w="0" w:type="dxa"/>
            <w:left w:w="108" w:type="dxa"/>
            <w:bottom w:w="0" w:type="dxa"/>
            <w:right w:w="108" w:type="dxa"/>
          </w:tblCellMar>
        </w:tblPrEx>
        <w:trPr>
          <w:trHeight w:val="39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eastAsia="zh-CN"/>
              </w:rPr>
            </w:pPr>
            <w:r>
              <w:rPr>
                <w:rFonts w:hint="eastAsia" w:ascii="Times New Roman" w:hAnsi="Times New Roman"/>
                <w:kern w:val="0"/>
                <w:sz w:val="24"/>
                <w:szCs w:val="24"/>
              </w:rPr>
              <w:t>项目支出：</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2814578.16</w:t>
            </w:r>
            <w:r>
              <w:rPr>
                <w:rFonts w:hint="eastAsia" w:ascii="Times New Roman" w:hAnsi="Times New Roman"/>
                <w:kern w:val="0"/>
                <w:sz w:val="24"/>
                <w:szCs w:val="24"/>
              </w:rPr>
              <w:t>　</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2200000</w:t>
            </w:r>
            <w:r>
              <w:rPr>
                <w:rFonts w:hint="eastAsia" w:ascii="Times New Roman" w:hAnsi="Times New Roman"/>
                <w:kern w:val="0"/>
                <w:sz w:val="24"/>
                <w:szCs w:val="24"/>
              </w:rPr>
              <w:t>　</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2114603.1</w:t>
            </w:r>
            <w:r>
              <w:rPr>
                <w:rFonts w:hint="eastAsia" w:ascii="Times New Roman" w:hAnsi="Times New Roman"/>
                <w:kern w:val="0"/>
                <w:sz w:val="24"/>
                <w:szCs w:val="24"/>
              </w:rPr>
              <w:t>　</w:t>
            </w:r>
          </w:p>
        </w:tc>
      </w:tr>
      <w:tr>
        <w:tblPrEx>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eastAsia="zh-CN"/>
              </w:rPr>
            </w:pPr>
            <w:r>
              <w:rPr>
                <w:rFonts w:ascii="Times New Roman" w:hAnsi="Times New Roman"/>
                <w:kern w:val="0"/>
                <w:sz w:val="24"/>
                <w:szCs w:val="24"/>
              </w:rPr>
              <w:t>1</w:t>
            </w:r>
            <w:r>
              <w:rPr>
                <w:rFonts w:hint="eastAsia" w:ascii="Times New Roman" w:hAnsi="Times New Roman"/>
                <w:kern w:val="0"/>
                <w:sz w:val="24"/>
                <w:szCs w:val="24"/>
              </w:rPr>
              <w:t>、</w:t>
            </w:r>
            <w:r>
              <w:rPr>
                <w:rFonts w:hint="eastAsia" w:ascii="Times New Roman" w:hAnsi="Times New Roman"/>
                <w:kern w:val="0"/>
                <w:sz w:val="24"/>
                <w:szCs w:val="24"/>
                <w:lang w:eastAsia="zh-CN"/>
              </w:rPr>
              <w:t>政府投资重点工程项目管理费</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2814578.16</w:t>
            </w:r>
            <w:r>
              <w:rPr>
                <w:rFonts w:hint="eastAsia" w:ascii="Times New Roman" w:hAnsi="Times New Roman"/>
                <w:kern w:val="0"/>
                <w:sz w:val="24"/>
                <w:szCs w:val="24"/>
              </w:rPr>
              <w:t>　</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2200000</w:t>
            </w:r>
            <w:r>
              <w:rPr>
                <w:rFonts w:hint="eastAsia" w:ascii="Times New Roman" w:hAnsi="Times New Roman"/>
                <w:kern w:val="0"/>
                <w:sz w:val="24"/>
                <w:szCs w:val="24"/>
              </w:rPr>
              <w:t>　</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2114603.1</w:t>
            </w:r>
            <w:r>
              <w:rPr>
                <w:rFonts w:hint="eastAsia" w:ascii="Times New Roman" w:hAnsi="Times New Roman"/>
                <w:kern w:val="0"/>
                <w:sz w:val="24"/>
                <w:szCs w:val="24"/>
              </w:rPr>
              <w:t>　</w:t>
            </w:r>
          </w:p>
        </w:tc>
      </w:tr>
      <w:tr>
        <w:tblPrEx>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hint="eastAsia" w:ascii="Times New Roman" w:hAnsi="Times New Roman"/>
                <w:kern w:val="0"/>
                <w:sz w:val="24"/>
                <w:szCs w:val="24"/>
              </w:rPr>
              <w:t>公用经费</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1312674.05</w:t>
            </w:r>
            <w:r>
              <w:rPr>
                <w:rFonts w:hint="eastAsia" w:ascii="Times New Roman" w:hAnsi="Times New Roman"/>
                <w:kern w:val="0"/>
                <w:sz w:val="24"/>
                <w:szCs w:val="24"/>
              </w:rPr>
              <w:t>　</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1436000</w:t>
            </w:r>
            <w:r>
              <w:rPr>
                <w:rFonts w:hint="eastAsia" w:ascii="Times New Roman" w:hAnsi="Times New Roman"/>
                <w:kern w:val="0"/>
                <w:sz w:val="24"/>
                <w:szCs w:val="24"/>
              </w:rPr>
              <w:t>　</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1838603.54</w:t>
            </w:r>
            <w:r>
              <w:rPr>
                <w:rFonts w:hint="eastAsia" w:ascii="Times New Roman" w:hAnsi="Times New Roman"/>
                <w:kern w:val="0"/>
                <w:sz w:val="24"/>
                <w:szCs w:val="24"/>
              </w:rPr>
              <w:t>　</w:t>
            </w:r>
          </w:p>
        </w:tc>
      </w:tr>
      <w:tr>
        <w:tblPrEx>
          <w:tblCellMar>
            <w:top w:w="0" w:type="dxa"/>
            <w:left w:w="108" w:type="dxa"/>
            <w:bottom w:w="0" w:type="dxa"/>
            <w:right w:w="108" w:type="dxa"/>
          </w:tblCellMar>
        </w:tblPrEx>
        <w:trPr>
          <w:trHeight w:val="39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ascii="Times New Roman" w:hAnsi="Times New Roman"/>
                <w:kern w:val="0"/>
                <w:sz w:val="24"/>
                <w:szCs w:val="24"/>
              </w:rPr>
              <w:t xml:space="preserve">    </w:t>
            </w:r>
            <w:r>
              <w:rPr>
                <w:rFonts w:hint="eastAsia" w:ascii="Times New Roman" w:hAnsi="Times New Roman"/>
                <w:kern w:val="0"/>
                <w:sz w:val="24"/>
                <w:szCs w:val="24"/>
              </w:rPr>
              <w:t>其中：办公经费</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color w:val="auto"/>
                <w:kern w:val="0"/>
                <w:sz w:val="24"/>
                <w:szCs w:val="24"/>
              </w:rPr>
            </w:pPr>
            <w:r>
              <w:rPr>
                <w:rFonts w:hint="eastAsia" w:ascii="Times New Roman" w:hAnsi="Times New Roman"/>
                <w:color w:val="auto"/>
                <w:kern w:val="0"/>
                <w:sz w:val="24"/>
                <w:szCs w:val="24"/>
                <w:lang w:val="en-US" w:eastAsia="zh-CN"/>
              </w:rPr>
              <w:t>1275968.45</w:t>
            </w:r>
            <w:r>
              <w:rPr>
                <w:rFonts w:hint="eastAsia" w:ascii="Times New Roman" w:hAnsi="Times New Roman"/>
                <w:color w:val="auto"/>
                <w:kern w:val="0"/>
                <w:sz w:val="24"/>
                <w:szCs w:val="24"/>
              </w:rPr>
              <w:t>　</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default" w:ascii="Times New Roman" w:hAnsi="Times New Roman" w:eastAsia="仿宋_GB2312"/>
                <w:color w:val="auto"/>
                <w:kern w:val="0"/>
                <w:sz w:val="24"/>
                <w:szCs w:val="24"/>
                <w:lang w:val="en-US" w:eastAsia="zh-CN"/>
              </w:rPr>
            </w:pPr>
            <w:r>
              <w:rPr>
                <w:rFonts w:hint="eastAsia" w:ascii="Times New Roman" w:hAnsi="Times New Roman"/>
                <w:color w:val="auto"/>
                <w:kern w:val="0"/>
                <w:sz w:val="24"/>
                <w:szCs w:val="24"/>
                <w:lang w:val="en-US" w:eastAsia="zh-CN"/>
              </w:rPr>
              <w:t>1356000</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default" w:ascii="Times New Roman" w:hAnsi="Times New Roman" w:eastAsia="仿宋_GB2312"/>
                <w:color w:val="auto"/>
                <w:kern w:val="0"/>
                <w:sz w:val="24"/>
                <w:szCs w:val="24"/>
                <w:lang w:val="en-US" w:eastAsia="zh-CN"/>
              </w:rPr>
            </w:pPr>
            <w:r>
              <w:rPr>
                <w:rFonts w:hint="eastAsia" w:ascii="Times New Roman" w:hAnsi="Times New Roman"/>
                <w:color w:val="auto"/>
                <w:kern w:val="0"/>
                <w:sz w:val="24"/>
                <w:szCs w:val="24"/>
                <w:lang w:val="en-US" w:eastAsia="zh-CN"/>
              </w:rPr>
              <w:t>1806824.04</w:t>
            </w:r>
          </w:p>
        </w:tc>
      </w:tr>
      <w:tr>
        <w:tblPrEx>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ascii="Times New Roman" w:hAnsi="Times New Roman"/>
                <w:kern w:val="0"/>
                <w:sz w:val="24"/>
                <w:szCs w:val="24"/>
              </w:rPr>
              <w:t xml:space="preserve">          </w:t>
            </w:r>
            <w:r>
              <w:rPr>
                <w:rFonts w:hint="eastAsia" w:ascii="Times New Roman" w:hAnsi="Times New Roman"/>
                <w:kern w:val="0"/>
                <w:sz w:val="24"/>
                <w:szCs w:val="24"/>
              </w:rPr>
              <w:t>水费、电费、差旅费</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color w:val="auto"/>
                <w:kern w:val="0"/>
                <w:sz w:val="24"/>
                <w:szCs w:val="24"/>
              </w:rPr>
            </w:pPr>
            <w:r>
              <w:rPr>
                <w:rFonts w:hint="eastAsia" w:ascii="Times New Roman" w:hAnsi="Times New Roman"/>
                <w:color w:val="auto"/>
                <w:kern w:val="0"/>
                <w:sz w:val="24"/>
                <w:szCs w:val="24"/>
                <w:lang w:val="en-US" w:eastAsia="zh-CN"/>
              </w:rPr>
              <w:t>13715.6</w:t>
            </w:r>
            <w:r>
              <w:rPr>
                <w:rFonts w:hint="eastAsia" w:ascii="Times New Roman" w:hAnsi="Times New Roman"/>
                <w:color w:val="auto"/>
                <w:kern w:val="0"/>
                <w:sz w:val="24"/>
                <w:szCs w:val="24"/>
              </w:rPr>
              <w:t>　</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color w:val="auto"/>
                <w:kern w:val="0"/>
                <w:sz w:val="24"/>
                <w:szCs w:val="24"/>
              </w:rPr>
            </w:pPr>
            <w:r>
              <w:rPr>
                <w:rFonts w:hint="eastAsia" w:ascii="Times New Roman" w:hAnsi="Times New Roman"/>
                <w:color w:val="auto"/>
                <w:kern w:val="0"/>
                <w:sz w:val="24"/>
                <w:szCs w:val="24"/>
                <w:lang w:val="en-US" w:eastAsia="zh-CN"/>
              </w:rPr>
              <w:t>5000</w:t>
            </w:r>
            <w:r>
              <w:rPr>
                <w:rFonts w:hint="eastAsia" w:ascii="Times New Roman" w:hAnsi="Times New Roman"/>
                <w:color w:val="auto"/>
                <w:kern w:val="0"/>
                <w:sz w:val="24"/>
                <w:szCs w:val="24"/>
              </w:rPr>
              <w:t>　</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color w:val="auto"/>
                <w:kern w:val="0"/>
                <w:sz w:val="24"/>
                <w:szCs w:val="24"/>
              </w:rPr>
            </w:pPr>
            <w:r>
              <w:rPr>
                <w:rFonts w:hint="eastAsia" w:ascii="Times New Roman" w:hAnsi="Times New Roman"/>
                <w:color w:val="auto"/>
                <w:kern w:val="0"/>
                <w:sz w:val="24"/>
                <w:szCs w:val="24"/>
                <w:lang w:val="en-US" w:eastAsia="zh-CN"/>
              </w:rPr>
              <w:t>21779.5</w:t>
            </w:r>
            <w:r>
              <w:rPr>
                <w:rFonts w:hint="eastAsia" w:ascii="Times New Roman" w:hAnsi="Times New Roman"/>
                <w:color w:val="auto"/>
                <w:kern w:val="0"/>
                <w:sz w:val="24"/>
                <w:szCs w:val="24"/>
              </w:rPr>
              <w:t>　</w:t>
            </w:r>
          </w:p>
        </w:tc>
      </w:tr>
      <w:tr>
        <w:tblPrEx>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ascii="Times New Roman" w:hAnsi="Times New Roman"/>
                <w:kern w:val="0"/>
                <w:sz w:val="24"/>
                <w:szCs w:val="24"/>
              </w:rPr>
              <w:t xml:space="preserve">          </w:t>
            </w:r>
            <w:r>
              <w:rPr>
                <w:rFonts w:hint="eastAsia" w:ascii="Times New Roman" w:hAnsi="Times New Roman"/>
                <w:kern w:val="0"/>
                <w:sz w:val="24"/>
                <w:szCs w:val="24"/>
              </w:rPr>
              <w:t>会议费、培训费</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color w:val="auto"/>
                <w:kern w:val="0"/>
                <w:sz w:val="24"/>
                <w:szCs w:val="24"/>
              </w:rPr>
            </w:pPr>
            <w:r>
              <w:rPr>
                <w:rFonts w:hint="eastAsia" w:ascii="Times New Roman" w:hAnsi="Times New Roman"/>
                <w:color w:val="auto"/>
                <w:kern w:val="0"/>
                <w:sz w:val="24"/>
                <w:szCs w:val="24"/>
                <w:lang w:val="en-US" w:eastAsia="zh-CN"/>
              </w:rPr>
              <w:t>22990</w:t>
            </w:r>
            <w:r>
              <w:rPr>
                <w:rFonts w:hint="eastAsia" w:ascii="Times New Roman" w:hAnsi="Times New Roman"/>
                <w:color w:val="auto"/>
                <w:kern w:val="0"/>
                <w:sz w:val="24"/>
                <w:szCs w:val="24"/>
              </w:rPr>
              <w:t>　</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color w:val="auto"/>
                <w:kern w:val="0"/>
                <w:sz w:val="24"/>
                <w:szCs w:val="24"/>
              </w:rPr>
            </w:pPr>
            <w:r>
              <w:rPr>
                <w:rFonts w:hint="eastAsia" w:ascii="Times New Roman" w:hAnsi="Times New Roman"/>
                <w:color w:val="auto"/>
                <w:kern w:val="0"/>
                <w:sz w:val="24"/>
                <w:szCs w:val="24"/>
                <w:lang w:val="en-US" w:eastAsia="zh-CN"/>
              </w:rPr>
              <w:t>75000</w:t>
            </w:r>
            <w:r>
              <w:rPr>
                <w:rFonts w:hint="eastAsia" w:ascii="Times New Roman" w:hAnsi="Times New Roman"/>
                <w:color w:val="auto"/>
                <w:kern w:val="0"/>
                <w:sz w:val="24"/>
                <w:szCs w:val="24"/>
              </w:rPr>
              <w:t>　</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color w:val="auto"/>
                <w:kern w:val="0"/>
                <w:sz w:val="24"/>
                <w:szCs w:val="24"/>
              </w:rPr>
            </w:pPr>
            <w:r>
              <w:rPr>
                <w:rFonts w:hint="eastAsia" w:ascii="Times New Roman" w:hAnsi="Times New Roman"/>
                <w:color w:val="auto"/>
                <w:kern w:val="0"/>
                <w:sz w:val="24"/>
                <w:szCs w:val="24"/>
                <w:lang w:val="en-US" w:eastAsia="zh-CN"/>
              </w:rPr>
              <w:t>10000</w:t>
            </w:r>
            <w:r>
              <w:rPr>
                <w:rFonts w:hint="eastAsia" w:ascii="Times New Roman" w:hAnsi="Times New Roman"/>
                <w:color w:val="auto"/>
                <w:kern w:val="0"/>
                <w:sz w:val="24"/>
                <w:szCs w:val="24"/>
              </w:rPr>
              <w:t>　</w:t>
            </w:r>
          </w:p>
        </w:tc>
      </w:tr>
      <w:tr>
        <w:tblPrEx>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hint="eastAsia" w:ascii="Times New Roman" w:hAnsi="Times New Roman"/>
                <w:kern w:val="0"/>
                <w:sz w:val="24"/>
                <w:szCs w:val="24"/>
              </w:rPr>
              <w:t>政府采购金额</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color w:val="auto"/>
                <w:kern w:val="0"/>
                <w:sz w:val="24"/>
                <w:szCs w:val="24"/>
              </w:rPr>
            </w:pPr>
            <w:r>
              <w:rPr>
                <w:rFonts w:ascii="Times New Roman" w:hAnsi="Times New Roman"/>
                <w:color w:val="auto"/>
                <w:kern w:val="0"/>
                <w:sz w:val="24"/>
                <w:szCs w:val="24"/>
              </w:rPr>
              <w:t>——</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color w:val="auto"/>
                <w:kern w:val="0"/>
                <w:sz w:val="24"/>
                <w:szCs w:val="24"/>
              </w:rPr>
            </w:pPr>
            <w:r>
              <w:rPr>
                <w:rFonts w:hint="eastAsia" w:ascii="Times New Roman" w:hAnsi="Times New Roman"/>
                <w:color w:val="auto"/>
                <w:kern w:val="0"/>
                <w:sz w:val="24"/>
                <w:szCs w:val="24"/>
                <w:lang w:val="en-US" w:eastAsia="zh-CN"/>
              </w:rPr>
              <w:t>315000</w:t>
            </w:r>
            <w:r>
              <w:rPr>
                <w:rFonts w:hint="eastAsia" w:ascii="Times New Roman" w:hAnsi="Times New Roman"/>
                <w:color w:val="auto"/>
                <w:kern w:val="0"/>
                <w:sz w:val="24"/>
                <w:szCs w:val="24"/>
              </w:rPr>
              <w:t>　</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color w:val="auto"/>
                <w:kern w:val="0"/>
                <w:sz w:val="24"/>
                <w:szCs w:val="24"/>
              </w:rPr>
            </w:pPr>
            <w:r>
              <w:rPr>
                <w:rFonts w:hint="eastAsia" w:ascii="Times New Roman" w:hAnsi="Times New Roman"/>
                <w:color w:val="auto"/>
                <w:kern w:val="0"/>
                <w:sz w:val="24"/>
                <w:szCs w:val="24"/>
                <w:lang w:val="en-US" w:eastAsia="zh-CN"/>
              </w:rPr>
              <w:t>14980</w:t>
            </w:r>
            <w:r>
              <w:rPr>
                <w:rFonts w:hint="eastAsia" w:ascii="Times New Roman" w:hAnsi="Times New Roman"/>
                <w:color w:val="auto"/>
                <w:kern w:val="0"/>
                <w:sz w:val="24"/>
                <w:szCs w:val="24"/>
              </w:rPr>
              <w:t>　</w:t>
            </w:r>
          </w:p>
        </w:tc>
      </w:tr>
      <w:tr>
        <w:tblPrEx>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hint="eastAsia" w:ascii="Times New Roman" w:hAnsi="Times New Roman"/>
                <w:kern w:val="0"/>
                <w:sz w:val="24"/>
                <w:szCs w:val="24"/>
              </w:rPr>
              <w:t>部门整体支出预算调整</w:t>
            </w:r>
            <w:r>
              <w:rPr>
                <w:rFonts w:ascii="Times New Roman" w:hAnsi="Times New Roman"/>
                <w:kern w:val="0"/>
                <w:sz w:val="24"/>
                <w:szCs w:val="24"/>
              </w:rPr>
              <w:t xml:space="preserve"> </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ascii="Times New Roman" w:hAnsi="Times New Roman"/>
                <w:kern w:val="0"/>
                <w:sz w:val="24"/>
                <w:szCs w:val="24"/>
              </w:rPr>
              <w:t>——</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　</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　</w:t>
            </w:r>
          </w:p>
        </w:tc>
      </w:tr>
      <w:tr>
        <w:tblPrEx>
          <w:tblCellMar>
            <w:top w:w="0" w:type="dxa"/>
            <w:left w:w="108" w:type="dxa"/>
            <w:bottom w:w="0" w:type="dxa"/>
            <w:right w:w="108" w:type="dxa"/>
          </w:tblCellMar>
        </w:tblPrEx>
        <w:trPr>
          <w:trHeight w:val="856" w:hRule="atLeast"/>
          <w:jc w:val="center"/>
        </w:trPr>
        <w:tc>
          <w:tcPr>
            <w:tcW w:w="3480"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楼堂馆所控制情况</w:t>
            </w:r>
          </w:p>
          <w:p>
            <w:pPr>
              <w:widowControl/>
              <w:spacing w:line="280" w:lineRule="exact"/>
              <w:jc w:val="center"/>
              <w:rPr>
                <w:rFonts w:hint="eastAsia" w:ascii="Times New Roman" w:hAnsi="Times New Roman" w:eastAsia="仿宋_GB2312"/>
                <w:kern w:val="0"/>
                <w:sz w:val="24"/>
                <w:szCs w:val="24"/>
                <w:lang w:eastAsia="zh-CN"/>
              </w:rPr>
            </w:pPr>
            <w:r>
              <w:rPr>
                <w:rFonts w:hint="eastAsia" w:ascii="Times New Roman" w:hAnsi="Times New Roman"/>
                <w:kern w:val="0"/>
                <w:sz w:val="24"/>
                <w:szCs w:val="24"/>
              </w:rPr>
              <w:t>（</w:t>
            </w:r>
            <w:r>
              <w:rPr>
                <w:rFonts w:ascii="Times New Roman" w:hAnsi="Times New Roman"/>
                <w:kern w:val="0"/>
                <w:sz w:val="24"/>
                <w:szCs w:val="24"/>
              </w:rPr>
              <w:t>201</w:t>
            </w:r>
            <w:r>
              <w:rPr>
                <w:rFonts w:hint="eastAsia" w:ascii="Times New Roman" w:hAnsi="Times New Roman"/>
                <w:kern w:val="0"/>
                <w:sz w:val="24"/>
                <w:szCs w:val="24"/>
              </w:rPr>
              <w:t>8年完工项目）</w:t>
            </w:r>
          </w:p>
        </w:tc>
        <w:tc>
          <w:tcPr>
            <w:tcW w:w="93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批复</w:t>
            </w:r>
          </w:p>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规模</w:t>
            </w:r>
          </w:p>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w:t>
            </w:r>
            <w:r>
              <w:rPr>
                <w:rFonts w:hint="eastAsia" w:ascii="Times New Roman" w:hAnsi="Times New Roman" w:eastAsia="宋体"/>
                <w:bCs/>
                <w:kern w:val="0"/>
                <w:sz w:val="24"/>
                <w:szCs w:val="24"/>
              </w:rPr>
              <w:t>㎡</w:t>
            </w:r>
            <w:r>
              <w:rPr>
                <w:rFonts w:hint="eastAsia" w:ascii="Times New Roman" w:hAnsi="Times New Roman"/>
                <w:bCs/>
                <w:kern w:val="0"/>
                <w:sz w:val="24"/>
                <w:szCs w:val="24"/>
              </w:rPr>
              <w:t>）</w:t>
            </w:r>
          </w:p>
        </w:tc>
        <w:tc>
          <w:tcPr>
            <w:tcW w:w="93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实际</w:t>
            </w:r>
          </w:p>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规模</w:t>
            </w:r>
          </w:p>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w:t>
            </w:r>
            <w:r>
              <w:rPr>
                <w:rFonts w:hint="eastAsia" w:ascii="Times New Roman" w:hAnsi="Times New Roman" w:eastAsia="宋体"/>
                <w:bCs/>
                <w:kern w:val="0"/>
                <w:sz w:val="24"/>
                <w:szCs w:val="24"/>
              </w:rPr>
              <w:t>㎡</w:t>
            </w:r>
            <w:r>
              <w:rPr>
                <w:rFonts w:hint="eastAsia" w:ascii="Times New Roman" w:hAnsi="Times New Roman"/>
                <w:bCs/>
                <w:kern w:val="0"/>
                <w:sz w:val="24"/>
                <w:szCs w:val="24"/>
              </w:rPr>
              <w:t>）</w:t>
            </w:r>
          </w:p>
        </w:tc>
        <w:tc>
          <w:tcPr>
            <w:tcW w:w="98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规</w:t>
            </w:r>
            <w:r>
              <w:rPr>
                <w:rFonts w:ascii="Times New Roman" w:hAnsi="Times New Roman"/>
                <w:bCs/>
                <w:kern w:val="0"/>
                <w:sz w:val="24"/>
                <w:szCs w:val="24"/>
              </w:rPr>
              <w:t xml:space="preserve">  </w:t>
            </w:r>
            <w:r>
              <w:rPr>
                <w:rFonts w:hint="eastAsia" w:ascii="Times New Roman" w:hAnsi="Times New Roman"/>
                <w:bCs/>
                <w:kern w:val="0"/>
                <w:sz w:val="24"/>
                <w:szCs w:val="24"/>
              </w:rPr>
              <w:t>模</w:t>
            </w:r>
          </w:p>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控制率</w:t>
            </w:r>
          </w:p>
        </w:tc>
        <w:tc>
          <w:tcPr>
            <w:tcW w:w="121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预算投资</w:t>
            </w:r>
          </w:p>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（万元）</w:t>
            </w:r>
          </w:p>
        </w:tc>
        <w:tc>
          <w:tcPr>
            <w:tcW w:w="118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实际投资</w:t>
            </w:r>
          </w:p>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（万元）</w:t>
            </w:r>
          </w:p>
        </w:tc>
        <w:tc>
          <w:tcPr>
            <w:tcW w:w="1135"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bCs/>
                <w:spacing w:val="-6"/>
                <w:kern w:val="0"/>
                <w:sz w:val="24"/>
                <w:szCs w:val="24"/>
              </w:rPr>
            </w:pPr>
            <w:r>
              <w:rPr>
                <w:rFonts w:hint="eastAsia" w:ascii="Times New Roman" w:hAnsi="Times New Roman"/>
                <w:bCs/>
                <w:spacing w:val="-6"/>
                <w:kern w:val="0"/>
                <w:sz w:val="24"/>
                <w:szCs w:val="24"/>
              </w:rPr>
              <w:t>投资概算控制率</w:t>
            </w:r>
          </w:p>
        </w:tc>
      </w:tr>
      <w:tr>
        <w:tblPrEx>
          <w:tblCellMar>
            <w:top w:w="0" w:type="dxa"/>
            <w:left w:w="108" w:type="dxa"/>
            <w:bottom w:w="0" w:type="dxa"/>
            <w:right w:w="108" w:type="dxa"/>
          </w:tblCellMar>
        </w:tblPrEx>
        <w:trPr>
          <w:trHeight w:val="678" w:hRule="atLeast"/>
          <w:jc w:val="center"/>
        </w:trPr>
        <w:tc>
          <w:tcPr>
            <w:tcW w:w="34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p>
        </w:tc>
        <w:tc>
          <w:tcPr>
            <w:tcW w:w="93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0</w:t>
            </w:r>
            <w:r>
              <w:rPr>
                <w:rFonts w:hint="eastAsia" w:ascii="Times New Roman" w:hAnsi="Times New Roman"/>
                <w:kern w:val="0"/>
                <w:sz w:val="24"/>
                <w:szCs w:val="24"/>
              </w:rPr>
              <w:t>　</w:t>
            </w:r>
          </w:p>
        </w:tc>
        <w:tc>
          <w:tcPr>
            <w:tcW w:w="936" w:type="dxa"/>
            <w:tcBorders>
              <w:top w:val="nil"/>
              <w:left w:val="nil"/>
              <w:bottom w:val="single" w:color="auto" w:sz="4" w:space="0"/>
              <w:right w:val="single" w:color="auto" w:sz="4" w:space="0"/>
            </w:tcBorders>
            <w:vAlign w:val="center"/>
          </w:tcPr>
          <w:p>
            <w:pPr>
              <w:widowControl/>
              <w:spacing w:line="280" w:lineRule="exact"/>
              <w:jc w:val="center"/>
              <w:rPr>
                <w:rFonts w:hint="default" w:ascii="Times New Roman" w:hAnsi="Times New Roman" w:eastAsia="仿宋_GB2312"/>
                <w:kern w:val="0"/>
                <w:sz w:val="24"/>
                <w:szCs w:val="24"/>
                <w:lang w:val="en-US" w:eastAsia="zh-CN"/>
              </w:rPr>
            </w:pPr>
            <w:r>
              <w:rPr>
                <w:rFonts w:hint="eastAsia" w:ascii="Times New Roman" w:hAnsi="Times New Roman"/>
                <w:kern w:val="0"/>
                <w:sz w:val="24"/>
                <w:szCs w:val="24"/>
                <w:lang w:val="en-US" w:eastAsia="zh-CN"/>
              </w:rPr>
              <w:t>0</w:t>
            </w:r>
          </w:p>
        </w:tc>
        <w:tc>
          <w:tcPr>
            <w:tcW w:w="987"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0</w:t>
            </w:r>
          </w:p>
        </w:tc>
        <w:tc>
          <w:tcPr>
            <w:tcW w:w="1217"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0</w:t>
            </w:r>
          </w:p>
        </w:tc>
        <w:tc>
          <w:tcPr>
            <w:tcW w:w="1187"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0</w:t>
            </w:r>
          </w:p>
        </w:tc>
        <w:tc>
          <w:tcPr>
            <w:tcW w:w="1135"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0</w:t>
            </w:r>
          </w:p>
        </w:tc>
      </w:tr>
      <w:tr>
        <w:tblPrEx>
          <w:tblCellMar>
            <w:top w:w="0" w:type="dxa"/>
            <w:left w:w="108" w:type="dxa"/>
            <w:bottom w:w="0" w:type="dxa"/>
            <w:right w:w="108" w:type="dxa"/>
          </w:tblCellMar>
        </w:tblPrEx>
        <w:trPr>
          <w:trHeight w:val="65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厉行节约保障措施</w:t>
            </w:r>
          </w:p>
        </w:tc>
        <w:tc>
          <w:tcPr>
            <w:tcW w:w="6398" w:type="dxa"/>
            <w:gridSpan w:val="6"/>
            <w:tcBorders>
              <w:top w:val="single" w:color="auto" w:sz="4" w:space="0"/>
              <w:left w:val="nil"/>
              <w:bottom w:val="single" w:color="auto" w:sz="4" w:space="0"/>
              <w:right w:val="single" w:color="000000" w:sz="4" w:space="0"/>
            </w:tcBorders>
            <w:vAlign w:val="center"/>
          </w:tcPr>
          <w:p>
            <w:pPr>
              <w:widowControl/>
              <w:spacing w:line="280" w:lineRule="exact"/>
              <w:jc w:val="left"/>
              <w:rPr>
                <w:rFonts w:ascii="Times New Roman" w:hAnsi="Times New Roman"/>
                <w:kern w:val="0"/>
                <w:sz w:val="24"/>
                <w:szCs w:val="24"/>
              </w:rPr>
            </w:pPr>
            <w:r>
              <w:rPr>
                <w:rFonts w:hint="eastAsia" w:ascii="Times New Roman" w:hAnsi="Times New Roman"/>
                <w:kern w:val="0"/>
                <w:sz w:val="24"/>
                <w:szCs w:val="24"/>
              </w:rPr>
              <w:t>制定了</w:t>
            </w:r>
            <w:r>
              <w:rPr>
                <w:rFonts w:hint="eastAsia" w:ascii="Times New Roman" w:hAnsi="Times New Roman"/>
                <w:kern w:val="0"/>
                <w:sz w:val="24"/>
                <w:szCs w:val="24"/>
                <w:lang w:eastAsia="zh-CN"/>
              </w:rPr>
              <w:t>单位内控评价与监督管理制度；预算业务控制规范、支出业务控制规范、资产业务控制规范；</w:t>
            </w:r>
            <w:r>
              <w:rPr>
                <w:rFonts w:hint="eastAsia" w:ascii="Times New Roman" w:hAnsi="Times New Roman"/>
                <w:kern w:val="0"/>
                <w:sz w:val="24"/>
                <w:szCs w:val="24"/>
              </w:rPr>
              <w:t>财务管理、车辆管理等相关制度，公务接待按照规定范围标准列支，严控“三公”经费及项目支出资金，坚持厉行节约，量入为出，保证重点，注重资金使用效益。　</w:t>
            </w:r>
          </w:p>
        </w:tc>
      </w:tr>
      <w:tr>
        <w:tblPrEx>
          <w:tblCellMar>
            <w:top w:w="0" w:type="dxa"/>
            <w:left w:w="108" w:type="dxa"/>
            <w:bottom w:w="0" w:type="dxa"/>
            <w:right w:w="108" w:type="dxa"/>
          </w:tblCellMar>
        </w:tblPrEx>
        <w:trPr>
          <w:trHeight w:val="700" w:hRule="atLeast"/>
          <w:jc w:val="center"/>
        </w:trPr>
        <w:tc>
          <w:tcPr>
            <w:tcW w:w="9878" w:type="dxa"/>
            <w:gridSpan w:val="7"/>
            <w:tcBorders>
              <w:top w:val="single" w:color="auto" w:sz="4" w:space="0"/>
              <w:left w:val="nil"/>
              <w:bottom w:val="nil"/>
              <w:right w:val="nil"/>
            </w:tcBorders>
            <w:vAlign w:val="center"/>
          </w:tcPr>
          <w:p>
            <w:pPr>
              <w:widowControl/>
              <w:spacing w:line="340" w:lineRule="exact"/>
              <w:jc w:val="left"/>
              <w:rPr>
                <w:rFonts w:ascii="Times New Roman" w:hAnsi="Times New Roman"/>
                <w:kern w:val="0"/>
                <w:sz w:val="22"/>
                <w:szCs w:val="24"/>
              </w:rPr>
            </w:pPr>
            <w:r>
              <w:rPr>
                <w:rFonts w:hint="eastAsia" w:ascii="Times New Roman" w:hAnsi="Times New Roman"/>
                <w:kern w:val="0"/>
                <w:sz w:val="22"/>
                <w:szCs w:val="24"/>
              </w:rPr>
              <w:t>说明：</w:t>
            </w:r>
            <w:r>
              <w:rPr>
                <w:rFonts w:ascii="Times New Roman" w:hAnsi="Times New Roman"/>
                <w:kern w:val="0"/>
                <w:sz w:val="22"/>
                <w:szCs w:val="24"/>
              </w:rPr>
              <w:t>“</w:t>
            </w:r>
            <w:r>
              <w:rPr>
                <w:rFonts w:hint="eastAsia" w:ascii="Times New Roman" w:hAnsi="Times New Roman"/>
                <w:kern w:val="0"/>
                <w:sz w:val="22"/>
                <w:szCs w:val="24"/>
              </w:rPr>
              <w:t>项目支出</w:t>
            </w:r>
            <w:r>
              <w:rPr>
                <w:rFonts w:ascii="Times New Roman" w:hAnsi="Times New Roman"/>
                <w:kern w:val="0"/>
                <w:sz w:val="22"/>
                <w:szCs w:val="24"/>
              </w:rPr>
              <w:t>”</w:t>
            </w:r>
            <w:r>
              <w:rPr>
                <w:rFonts w:hint="eastAsia" w:ascii="Times New Roman" w:hAnsi="Times New Roman"/>
                <w:kern w:val="0"/>
                <w:sz w:val="22"/>
                <w:szCs w:val="24"/>
              </w:rPr>
              <w:t>需要填报除专项资金和基本支出以外的所有项目情况，包括业务工作项目、运行维护项目等；</w:t>
            </w:r>
            <w:r>
              <w:rPr>
                <w:rFonts w:ascii="Times New Roman" w:hAnsi="Times New Roman"/>
                <w:kern w:val="0"/>
                <w:sz w:val="22"/>
                <w:szCs w:val="24"/>
              </w:rPr>
              <w:t>“</w:t>
            </w:r>
            <w:r>
              <w:rPr>
                <w:rFonts w:hint="eastAsia" w:ascii="Times New Roman" w:hAnsi="Times New Roman"/>
                <w:kern w:val="0"/>
                <w:sz w:val="22"/>
                <w:szCs w:val="24"/>
              </w:rPr>
              <w:t>公用经费</w:t>
            </w:r>
            <w:r>
              <w:rPr>
                <w:rFonts w:ascii="Times New Roman" w:hAnsi="Times New Roman"/>
                <w:kern w:val="0"/>
                <w:sz w:val="22"/>
                <w:szCs w:val="24"/>
              </w:rPr>
              <w:t>”</w:t>
            </w:r>
            <w:r>
              <w:rPr>
                <w:rFonts w:hint="eastAsia" w:ascii="Times New Roman" w:hAnsi="Times New Roman"/>
                <w:kern w:val="0"/>
                <w:sz w:val="22"/>
                <w:szCs w:val="24"/>
              </w:rPr>
              <w:t>填报基本支出中的一般商品和服务支出。</w:t>
            </w:r>
          </w:p>
        </w:tc>
      </w:tr>
    </w:tbl>
    <w:p>
      <w:pPr>
        <w:rPr>
          <w:rFonts w:ascii="Times New Roman" w:hAnsi="Times New Roman"/>
        </w:rPr>
      </w:pPr>
    </w:p>
    <w:p>
      <w:pPr>
        <w:spacing w:line="600" w:lineRule="exact"/>
        <w:rPr>
          <w:rFonts w:ascii="Times New Roman" w:hAnsi="Times New Roman" w:eastAsia="楷体_GB2312"/>
        </w:rPr>
        <w:sectPr>
          <w:footerReference r:id="rId7" w:type="first"/>
          <w:footerReference r:id="rId5" w:type="default"/>
          <w:footerReference r:id="rId6" w:type="even"/>
          <w:pgSz w:w="11906" w:h="16838"/>
          <w:pgMar w:top="1701" w:right="1587" w:bottom="1417" w:left="1701" w:header="851" w:footer="992" w:gutter="0"/>
          <w:pgNumType w:fmt="numberInDash"/>
          <w:cols w:space="720" w:num="1"/>
          <w:docGrid w:type="lines" w:linePitch="312" w:charSpace="0"/>
        </w:sectPr>
      </w:pPr>
    </w:p>
    <w:p>
      <w:pPr>
        <w:spacing w:line="600" w:lineRule="exact"/>
        <w:rPr>
          <w:rFonts w:ascii="Times New Roman" w:hAnsi="Times New Roman" w:eastAsia="楷体_GB2312"/>
        </w:rPr>
      </w:pPr>
      <w:r>
        <w:rPr>
          <w:rFonts w:hint="eastAsia" w:ascii="Times New Roman" w:hAnsi="Times New Roman" w:eastAsia="楷体_GB2312"/>
        </w:rPr>
        <w:t>附件4</w:t>
      </w:r>
    </w:p>
    <w:p>
      <w:pPr>
        <w:widowControl/>
        <w:spacing w:line="240" w:lineRule="auto"/>
        <w:ind w:left="91"/>
        <w:jc w:val="center"/>
        <w:rPr>
          <w:rFonts w:hint="eastAsia" w:ascii="Times New Roman" w:hAnsi="Times New Roman" w:eastAsia="方正小标宋简体"/>
          <w:kern w:val="0"/>
          <w:sz w:val="44"/>
          <w:szCs w:val="44"/>
        </w:rPr>
      </w:pPr>
      <w:r>
        <w:rPr>
          <w:rFonts w:ascii="Times New Roman" w:hAnsi="Times New Roman" w:eastAsia="方正小标宋简体"/>
          <w:kern w:val="0"/>
          <w:sz w:val="44"/>
          <w:szCs w:val="44"/>
        </w:rPr>
        <w:t xml:space="preserve">  </w:t>
      </w:r>
      <w:r>
        <w:rPr>
          <w:rFonts w:hint="eastAsia" w:ascii="Times New Roman" w:hAnsi="Times New Roman" w:eastAsia="方正小标宋简体"/>
          <w:kern w:val="0"/>
          <w:sz w:val="44"/>
          <w:szCs w:val="44"/>
          <w:u w:val="single"/>
          <w:lang w:eastAsia="zh-CN"/>
        </w:rPr>
        <w:t>长沙市望城区工务局</w:t>
      </w:r>
      <w:r>
        <w:rPr>
          <w:rFonts w:hint="eastAsia" w:ascii="Times New Roman" w:hAnsi="Times New Roman" w:eastAsia="方正小标宋简体"/>
          <w:kern w:val="0"/>
          <w:sz w:val="44"/>
          <w:szCs w:val="44"/>
        </w:rPr>
        <w:t>部门整体支出绩效</w:t>
      </w:r>
    </w:p>
    <w:p>
      <w:pPr>
        <w:widowControl/>
        <w:spacing w:line="240" w:lineRule="auto"/>
        <w:ind w:left="91"/>
        <w:jc w:val="center"/>
        <w:rPr>
          <w:rFonts w:ascii="Times New Roman" w:hAnsi="Times New Roman" w:eastAsia="方正小标宋简体"/>
          <w:kern w:val="0"/>
          <w:sz w:val="44"/>
          <w:szCs w:val="44"/>
        </w:rPr>
      </w:pPr>
      <w:r>
        <w:rPr>
          <w:rFonts w:hint="eastAsia" w:ascii="Times New Roman" w:hAnsi="Times New Roman" w:eastAsia="方正小标宋简体"/>
          <w:kern w:val="0"/>
          <w:sz w:val="44"/>
          <w:szCs w:val="44"/>
        </w:rPr>
        <w:t>评价自评表</w:t>
      </w:r>
    </w:p>
    <w:tbl>
      <w:tblPr>
        <w:tblStyle w:val="6"/>
        <w:tblW w:w="10584" w:type="dxa"/>
        <w:jc w:val="center"/>
        <w:tblLayout w:type="fixed"/>
        <w:tblCellMar>
          <w:top w:w="0" w:type="dxa"/>
          <w:left w:w="108" w:type="dxa"/>
          <w:bottom w:w="0" w:type="dxa"/>
          <w:right w:w="108" w:type="dxa"/>
        </w:tblCellMar>
      </w:tblPr>
      <w:tblGrid>
        <w:gridCol w:w="648"/>
        <w:gridCol w:w="416"/>
        <w:gridCol w:w="673"/>
        <w:gridCol w:w="416"/>
        <w:gridCol w:w="1072"/>
        <w:gridCol w:w="416"/>
        <w:gridCol w:w="2324"/>
        <w:gridCol w:w="2549"/>
        <w:gridCol w:w="675"/>
        <w:gridCol w:w="1395"/>
      </w:tblGrid>
      <w:tr>
        <w:tblPrEx>
          <w:tblCellMar>
            <w:top w:w="0" w:type="dxa"/>
            <w:left w:w="108" w:type="dxa"/>
            <w:bottom w:w="0" w:type="dxa"/>
            <w:right w:w="108" w:type="dxa"/>
          </w:tblCellMar>
        </w:tblPrEx>
        <w:trPr>
          <w:trHeight w:val="483" w:hRule="atLeast"/>
          <w:tblHeader/>
          <w:jc w:val="center"/>
        </w:trPr>
        <w:tc>
          <w:tcPr>
            <w:tcW w:w="64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一级指标</w:t>
            </w:r>
          </w:p>
        </w:tc>
        <w:tc>
          <w:tcPr>
            <w:tcW w:w="4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分值</w:t>
            </w:r>
          </w:p>
        </w:tc>
        <w:tc>
          <w:tcPr>
            <w:tcW w:w="673"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二级指标</w:t>
            </w:r>
          </w:p>
        </w:tc>
        <w:tc>
          <w:tcPr>
            <w:tcW w:w="4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分值</w:t>
            </w:r>
          </w:p>
        </w:tc>
        <w:tc>
          <w:tcPr>
            <w:tcW w:w="107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三级</w:t>
            </w:r>
          </w:p>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指标</w:t>
            </w:r>
          </w:p>
        </w:tc>
        <w:tc>
          <w:tcPr>
            <w:tcW w:w="4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分值</w:t>
            </w:r>
          </w:p>
        </w:tc>
        <w:tc>
          <w:tcPr>
            <w:tcW w:w="232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评价标准</w:t>
            </w:r>
          </w:p>
        </w:tc>
        <w:tc>
          <w:tcPr>
            <w:tcW w:w="2549"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指标说明</w:t>
            </w:r>
          </w:p>
        </w:tc>
        <w:tc>
          <w:tcPr>
            <w:tcW w:w="67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得分</w:t>
            </w:r>
          </w:p>
        </w:tc>
        <w:tc>
          <w:tcPr>
            <w:tcW w:w="139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color w:val="auto"/>
                <w:kern w:val="0"/>
                <w:sz w:val="20"/>
                <w:szCs w:val="20"/>
              </w:rPr>
              <w:t>得分依据</w:t>
            </w:r>
          </w:p>
        </w:tc>
      </w:tr>
      <w:tr>
        <w:tblPrEx>
          <w:tblCellMar>
            <w:top w:w="0" w:type="dxa"/>
            <w:left w:w="108" w:type="dxa"/>
            <w:bottom w:w="0" w:type="dxa"/>
            <w:right w:w="108" w:type="dxa"/>
          </w:tblCellMar>
        </w:tblPrEx>
        <w:trPr>
          <w:jc w:val="center"/>
        </w:trPr>
        <w:tc>
          <w:tcPr>
            <w:tcW w:w="648"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投入</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13</w:t>
            </w:r>
          </w:p>
        </w:tc>
        <w:tc>
          <w:tcPr>
            <w:tcW w:w="673" w:type="dxa"/>
            <w:vMerge w:val="restart"/>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预算配置</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13</w:t>
            </w: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在职人员控制率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5</w:t>
            </w:r>
          </w:p>
        </w:tc>
        <w:tc>
          <w:tcPr>
            <w:tcW w:w="2324" w:type="dxa"/>
            <w:tcBorders>
              <w:top w:val="nil"/>
              <w:left w:val="nil"/>
              <w:bottom w:val="nil"/>
              <w:right w:val="nil"/>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以</w:t>
            </w:r>
            <w:r>
              <w:rPr>
                <w:rFonts w:ascii="Times New Roman" w:hAnsi="Times New Roman"/>
                <w:kern w:val="0"/>
                <w:sz w:val="20"/>
                <w:szCs w:val="20"/>
              </w:rPr>
              <w:t>100%</w:t>
            </w:r>
            <w:r>
              <w:rPr>
                <w:rFonts w:hint="eastAsia" w:ascii="Times New Roman" w:hAnsi="Times New Roman"/>
                <w:kern w:val="0"/>
                <w:sz w:val="20"/>
                <w:szCs w:val="20"/>
              </w:rPr>
              <w:t>为标准。在职人员控制率</w:t>
            </w:r>
            <w:r>
              <w:rPr>
                <w:rFonts w:hint="eastAsia" w:ascii="宋体" w:hAnsi="宋体" w:eastAsia="宋体" w:cs="宋体"/>
                <w:kern w:val="0"/>
                <w:sz w:val="20"/>
                <w:szCs w:val="20"/>
              </w:rPr>
              <w:t>≦</w:t>
            </w:r>
            <w:r>
              <w:rPr>
                <w:rFonts w:ascii="Times New Roman" w:hAnsi="Times New Roman"/>
                <w:kern w:val="0"/>
                <w:sz w:val="20"/>
                <w:szCs w:val="20"/>
              </w:rPr>
              <w:t>100%</w:t>
            </w:r>
            <w:r>
              <w:rPr>
                <w:rFonts w:hint="eastAsia" w:ascii="Times New Roman" w:hAnsi="Times New Roman"/>
                <w:kern w:val="0"/>
                <w:sz w:val="20"/>
                <w:szCs w:val="20"/>
              </w:rPr>
              <w:t>，计</w:t>
            </w:r>
            <w:r>
              <w:rPr>
                <w:rFonts w:ascii="Times New Roman" w:hAnsi="Times New Roman"/>
                <w:kern w:val="0"/>
                <w:sz w:val="20"/>
                <w:szCs w:val="20"/>
              </w:rPr>
              <w:t>5</w:t>
            </w:r>
            <w:r>
              <w:rPr>
                <w:rFonts w:hint="eastAsia" w:ascii="Times New Roman" w:hAnsi="Times New Roman"/>
                <w:kern w:val="0"/>
                <w:sz w:val="20"/>
                <w:szCs w:val="20"/>
              </w:rPr>
              <w:t>分；每超过一个百分点扣</w:t>
            </w:r>
            <w:r>
              <w:rPr>
                <w:rFonts w:ascii="Times New Roman" w:hAnsi="Times New Roman"/>
                <w:kern w:val="0"/>
                <w:sz w:val="20"/>
                <w:szCs w:val="20"/>
              </w:rPr>
              <w:t>0.5</w:t>
            </w:r>
            <w:r>
              <w:rPr>
                <w:rFonts w:hint="eastAsia" w:ascii="Times New Roman" w:hAnsi="Times New Roman"/>
                <w:kern w:val="0"/>
                <w:sz w:val="20"/>
                <w:szCs w:val="20"/>
              </w:rPr>
              <w:t>分，扣完为止。</w:t>
            </w:r>
          </w:p>
        </w:tc>
        <w:tc>
          <w:tcPr>
            <w:tcW w:w="2549"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在职人员控制率</w:t>
            </w:r>
            <w:r>
              <w:rPr>
                <w:rFonts w:ascii="Times New Roman" w:hAnsi="Times New Roman"/>
                <w:kern w:val="0"/>
                <w:sz w:val="20"/>
                <w:szCs w:val="20"/>
              </w:rPr>
              <w:t>=</w:t>
            </w:r>
            <w:r>
              <w:rPr>
                <w:rFonts w:hint="eastAsia" w:ascii="Times New Roman" w:hAnsi="Times New Roman"/>
                <w:kern w:val="0"/>
                <w:sz w:val="20"/>
                <w:szCs w:val="20"/>
              </w:rPr>
              <w:t>（在职人员数</w:t>
            </w:r>
            <w:r>
              <w:rPr>
                <w:rFonts w:ascii="Times New Roman" w:hAnsi="Times New Roman"/>
                <w:kern w:val="0"/>
                <w:sz w:val="20"/>
                <w:szCs w:val="20"/>
              </w:rPr>
              <w:t>/</w:t>
            </w:r>
            <w:r>
              <w:rPr>
                <w:rFonts w:hint="eastAsia" w:ascii="Times New Roman" w:hAnsi="Times New Roman"/>
                <w:kern w:val="0"/>
                <w:sz w:val="20"/>
                <w:szCs w:val="20"/>
              </w:rPr>
              <w:t>编制数）</w:t>
            </w:r>
            <w:r>
              <w:rPr>
                <w:rFonts w:ascii="Times New Roman" w:hAnsi="Times New Roman"/>
                <w:kern w:val="0"/>
                <w:sz w:val="20"/>
                <w:szCs w:val="20"/>
              </w:rPr>
              <w:t>×100%</w:t>
            </w:r>
            <w:r>
              <w:rPr>
                <w:rFonts w:hint="eastAsia" w:ascii="Times New Roman" w:hAnsi="Times New Roman"/>
                <w:kern w:val="0"/>
                <w:sz w:val="20"/>
                <w:szCs w:val="20"/>
              </w:rPr>
              <w:t>，在职人员数：部门（单位）实际在职人数。</w:t>
            </w:r>
          </w:p>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编制数：机构编制部门核定批复的部门（单位）的人员编制数。</w:t>
            </w:r>
          </w:p>
        </w:tc>
        <w:tc>
          <w:tcPr>
            <w:tcW w:w="675" w:type="dxa"/>
            <w:tcBorders>
              <w:top w:val="nil"/>
              <w:left w:val="nil"/>
              <w:bottom w:val="single" w:color="auto" w:sz="4" w:space="0"/>
              <w:right w:val="single" w:color="auto" w:sz="4" w:space="0"/>
            </w:tcBorders>
            <w:vAlign w:val="center"/>
          </w:tcPr>
          <w:p>
            <w:pPr>
              <w:widowControl/>
              <w:spacing w:line="280" w:lineRule="exact"/>
              <w:jc w:val="center"/>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lang w:val="en-US" w:eastAsia="zh-CN"/>
              </w:rPr>
              <w:t>5</w:t>
            </w:r>
          </w:p>
        </w:tc>
        <w:tc>
          <w:tcPr>
            <w:tcW w:w="1395" w:type="dxa"/>
            <w:tcBorders>
              <w:top w:val="nil"/>
              <w:left w:val="nil"/>
              <w:bottom w:val="single" w:color="auto" w:sz="4" w:space="0"/>
              <w:right w:val="single" w:color="auto" w:sz="4" w:space="0"/>
            </w:tcBorders>
          </w:tcPr>
          <w:p>
            <w:pPr>
              <w:widowControl/>
              <w:spacing w:line="280" w:lineRule="exact"/>
              <w:jc w:val="left"/>
              <w:rPr>
                <w:rFonts w:hint="default" w:ascii="Times New Roman" w:hAnsi="Times New Roman" w:eastAsia="仿宋_GB2312"/>
                <w:kern w:val="0"/>
                <w:sz w:val="20"/>
                <w:szCs w:val="20"/>
                <w:lang w:val="en-US" w:eastAsia="zh-CN"/>
              </w:rPr>
            </w:pPr>
            <w:r>
              <w:rPr>
                <w:rFonts w:hint="eastAsia" w:ascii="Times New Roman" w:hAnsi="Times New Roman"/>
                <w:kern w:val="0"/>
                <w:sz w:val="20"/>
                <w:szCs w:val="20"/>
                <w:lang w:val="en-US" w:eastAsia="zh-CN"/>
              </w:rPr>
              <w:t>2018年度我单位编制人数为13名，实际在编人员11名，控制率为84.62%</w:t>
            </w:r>
          </w:p>
        </w:tc>
      </w:tr>
      <w:tr>
        <w:tblPrEx>
          <w:tblCellMar>
            <w:top w:w="0" w:type="dxa"/>
            <w:left w:w="108" w:type="dxa"/>
            <w:bottom w:w="0" w:type="dxa"/>
            <w:right w:w="108" w:type="dxa"/>
          </w:tblCellMar>
        </w:tblPrEx>
        <w:trPr>
          <w:jc w:val="center"/>
        </w:trPr>
        <w:tc>
          <w:tcPr>
            <w:tcW w:w="648"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673" w:type="dxa"/>
            <w:vMerge w:val="continue"/>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三公经费</w:t>
            </w:r>
          </w:p>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变动率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8</w:t>
            </w:r>
          </w:p>
        </w:tc>
        <w:tc>
          <w:tcPr>
            <w:tcW w:w="2324"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变动率</w:t>
            </w:r>
            <w:r>
              <w:rPr>
                <w:rFonts w:hint="eastAsia" w:ascii="宋体" w:hAnsi="宋体" w:eastAsia="宋体" w:cs="宋体"/>
                <w:kern w:val="0"/>
                <w:sz w:val="20"/>
                <w:szCs w:val="20"/>
              </w:rPr>
              <w:t>≦</w:t>
            </w:r>
            <w:r>
              <w:rPr>
                <w:rFonts w:ascii="Times New Roman" w:hAnsi="Times New Roman"/>
                <w:kern w:val="0"/>
                <w:sz w:val="20"/>
                <w:szCs w:val="20"/>
              </w:rPr>
              <w:t>0</w:t>
            </w:r>
            <w:r>
              <w:rPr>
                <w:rFonts w:hint="eastAsia" w:ascii="Times New Roman" w:hAnsi="Times New Roman"/>
                <w:kern w:val="0"/>
                <w:sz w:val="20"/>
                <w:szCs w:val="20"/>
              </w:rPr>
              <w:t>，计</w:t>
            </w:r>
            <w:r>
              <w:rPr>
                <w:rFonts w:ascii="Times New Roman" w:hAnsi="Times New Roman"/>
                <w:kern w:val="0"/>
                <w:sz w:val="20"/>
                <w:szCs w:val="20"/>
              </w:rPr>
              <w:t>8</w:t>
            </w:r>
            <w:r>
              <w:rPr>
                <w:rFonts w:hint="eastAsia" w:ascii="Times New Roman" w:hAnsi="Times New Roman"/>
                <w:kern w:val="0"/>
                <w:sz w:val="20"/>
                <w:szCs w:val="20"/>
              </w:rPr>
              <w:t>分；</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w:t>
            </w:r>
            <w:r>
              <w:rPr>
                <w:rFonts w:ascii="Times New Roman" w:hAnsi="Times New Roman"/>
                <w:kern w:val="0"/>
                <w:sz w:val="20"/>
                <w:szCs w:val="20"/>
              </w:rPr>
              <w:t>0</w:t>
            </w:r>
            <w:r>
              <w:rPr>
                <w:rFonts w:hint="eastAsia" w:ascii="Times New Roman" w:hAnsi="Times New Roman"/>
                <w:kern w:val="0"/>
                <w:sz w:val="20"/>
                <w:szCs w:val="20"/>
              </w:rPr>
              <w:t>，每超过一个百分点扣</w:t>
            </w:r>
            <w:r>
              <w:rPr>
                <w:rFonts w:ascii="Times New Roman" w:hAnsi="Times New Roman"/>
                <w:kern w:val="0"/>
                <w:sz w:val="20"/>
                <w:szCs w:val="20"/>
              </w:rPr>
              <w:t>0.8</w:t>
            </w:r>
            <w:r>
              <w:rPr>
                <w:rFonts w:hint="eastAsia" w:ascii="Times New Roman" w:hAnsi="Times New Roman"/>
                <w:kern w:val="0"/>
                <w:sz w:val="20"/>
                <w:szCs w:val="20"/>
              </w:rPr>
              <w:t>分，扣完为止。</w:t>
            </w:r>
          </w:p>
        </w:tc>
        <w:tc>
          <w:tcPr>
            <w:tcW w:w="2549"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变动率</w:t>
            </w:r>
            <w:r>
              <w:rPr>
                <w:rFonts w:ascii="Times New Roman" w:hAnsi="Times New Roman"/>
                <w:kern w:val="0"/>
                <w:sz w:val="20"/>
                <w:szCs w:val="20"/>
              </w:rPr>
              <w:t>=[</w:t>
            </w:r>
            <w:r>
              <w:rPr>
                <w:rFonts w:hint="eastAsia" w:ascii="Times New Roman" w:hAnsi="Times New Roman"/>
                <w:kern w:val="0"/>
                <w:sz w:val="20"/>
                <w:szCs w:val="20"/>
              </w:rPr>
              <w:t>（本年度</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预算数</w:t>
            </w:r>
            <w:r>
              <w:rPr>
                <w:rFonts w:ascii="Times New Roman" w:hAnsi="Times New Roman"/>
                <w:kern w:val="0"/>
                <w:sz w:val="20"/>
                <w:szCs w:val="20"/>
              </w:rPr>
              <w:t>-</w:t>
            </w:r>
            <w:r>
              <w:rPr>
                <w:rFonts w:hint="eastAsia" w:ascii="Times New Roman" w:hAnsi="Times New Roman"/>
                <w:kern w:val="0"/>
                <w:sz w:val="20"/>
                <w:szCs w:val="20"/>
              </w:rPr>
              <w:t>上年度</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预算数）</w:t>
            </w:r>
            <w:r>
              <w:rPr>
                <w:rFonts w:ascii="Times New Roman" w:hAnsi="Times New Roman"/>
                <w:kern w:val="0"/>
                <w:sz w:val="20"/>
                <w:szCs w:val="20"/>
              </w:rPr>
              <w:t>/</w:t>
            </w:r>
            <w:r>
              <w:rPr>
                <w:rFonts w:hint="eastAsia" w:ascii="Times New Roman" w:hAnsi="Times New Roman"/>
                <w:kern w:val="0"/>
                <w:sz w:val="20"/>
                <w:szCs w:val="20"/>
              </w:rPr>
              <w:t>上年度</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预算数</w:t>
            </w:r>
            <w:r>
              <w:rPr>
                <w:rFonts w:ascii="Times New Roman" w:hAnsi="Times New Roman"/>
                <w:kern w:val="0"/>
                <w:sz w:val="20"/>
                <w:szCs w:val="20"/>
              </w:rPr>
              <w:t>]×100%</w:t>
            </w:r>
          </w:p>
        </w:tc>
        <w:tc>
          <w:tcPr>
            <w:tcW w:w="675" w:type="dxa"/>
            <w:tcBorders>
              <w:top w:val="nil"/>
              <w:left w:val="nil"/>
              <w:bottom w:val="single" w:color="auto" w:sz="4" w:space="0"/>
              <w:right w:val="single" w:color="auto" w:sz="4" w:space="0"/>
            </w:tcBorders>
            <w:vAlign w:val="center"/>
          </w:tcPr>
          <w:p>
            <w:pPr>
              <w:widowControl/>
              <w:spacing w:line="280" w:lineRule="exact"/>
              <w:jc w:val="center"/>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lang w:val="en-US" w:eastAsia="zh-CN"/>
              </w:rPr>
              <w:t>8</w:t>
            </w:r>
          </w:p>
        </w:tc>
        <w:tc>
          <w:tcPr>
            <w:tcW w:w="1395" w:type="dxa"/>
            <w:tcBorders>
              <w:top w:val="nil"/>
              <w:left w:val="nil"/>
              <w:bottom w:val="single" w:color="auto" w:sz="4" w:space="0"/>
              <w:right w:val="single" w:color="auto" w:sz="4" w:space="0"/>
            </w:tcBorders>
          </w:tcPr>
          <w:p>
            <w:pPr>
              <w:widowControl/>
              <w:spacing w:line="280" w:lineRule="exact"/>
              <w:jc w:val="left"/>
              <w:rPr>
                <w:rFonts w:hint="default" w:ascii="Times New Roman" w:hAnsi="Times New Roman" w:eastAsia="仿宋_GB2312"/>
                <w:kern w:val="0"/>
                <w:sz w:val="20"/>
                <w:szCs w:val="20"/>
                <w:lang w:val="en-US" w:eastAsia="zh-CN"/>
              </w:rPr>
            </w:pPr>
            <w:r>
              <w:rPr>
                <w:rFonts w:hint="eastAsia" w:ascii="Times New Roman" w:hAnsi="Times New Roman"/>
                <w:kern w:val="0"/>
                <w:sz w:val="20"/>
                <w:szCs w:val="20"/>
                <w:lang w:val="en-US" w:eastAsia="zh-CN"/>
              </w:rPr>
              <w:t>2018年度三公经费预算数为：15万，2017年度三公经费预算数为15万，变动率为0</w:t>
            </w:r>
          </w:p>
        </w:tc>
      </w:tr>
      <w:tr>
        <w:tblPrEx>
          <w:tblCellMar>
            <w:top w:w="0" w:type="dxa"/>
            <w:left w:w="108" w:type="dxa"/>
            <w:bottom w:w="0" w:type="dxa"/>
            <w:right w:w="108" w:type="dxa"/>
          </w:tblCellMar>
        </w:tblPrEx>
        <w:trPr>
          <w:jc w:val="center"/>
        </w:trPr>
        <w:tc>
          <w:tcPr>
            <w:tcW w:w="648"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过程</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61</w:t>
            </w:r>
          </w:p>
        </w:tc>
        <w:tc>
          <w:tcPr>
            <w:tcW w:w="673"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预算执行</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20</w:t>
            </w: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预算</w:t>
            </w:r>
          </w:p>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完成率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5</w:t>
            </w:r>
          </w:p>
        </w:tc>
        <w:tc>
          <w:tcPr>
            <w:tcW w:w="2324"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100%</w:t>
            </w:r>
            <w:r>
              <w:rPr>
                <w:rFonts w:hint="eastAsia" w:ascii="Times New Roman" w:hAnsi="Times New Roman"/>
                <w:kern w:val="0"/>
                <w:sz w:val="20"/>
                <w:szCs w:val="20"/>
              </w:rPr>
              <w:t>计满分，每低于</w:t>
            </w:r>
            <w:r>
              <w:rPr>
                <w:rFonts w:ascii="Times New Roman" w:hAnsi="Times New Roman"/>
                <w:kern w:val="0"/>
                <w:sz w:val="20"/>
                <w:szCs w:val="20"/>
              </w:rPr>
              <w:t>5%</w:t>
            </w:r>
            <w:r>
              <w:rPr>
                <w:rFonts w:hint="eastAsia" w:ascii="Times New Roman" w:hAnsi="Times New Roman"/>
                <w:kern w:val="0"/>
                <w:sz w:val="20"/>
                <w:szCs w:val="20"/>
              </w:rPr>
              <w:t>扣</w:t>
            </w:r>
            <w:r>
              <w:rPr>
                <w:rFonts w:ascii="Times New Roman" w:hAnsi="Times New Roman"/>
                <w:kern w:val="0"/>
                <w:sz w:val="20"/>
                <w:szCs w:val="20"/>
              </w:rPr>
              <w:t>2</w:t>
            </w:r>
            <w:r>
              <w:rPr>
                <w:rFonts w:hint="eastAsia" w:ascii="Times New Roman" w:hAnsi="Times New Roman"/>
                <w:kern w:val="0"/>
                <w:sz w:val="20"/>
                <w:szCs w:val="20"/>
              </w:rPr>
              <w:t>分，扣完为止。</w:t>
            </w:r>
          </w:p>
        </w:tc>
        <w:tc>
          <w:tcPr>
            <w:tcW w:w="2549"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预算完成率</w:t>
            </w:r>
            <w:r>
              <w:rPr>
                <w:rFonts w:ascii="Times New Roman" w:hAnsi="Times New Roman"/>
                <w:kern w:val="0"/>
                <w:sz w:val="20"/>
                <w:szCs w:val="20"/>
              </w:rPr>
              <w:t>=</w:t>
            </w:r>
            <w:r>
              <w:rPr>
                <w:rFonts w:hint="eastAsia" w:ascii="Times New Roman" w:hAnsi="Times New Roman"/>
                <w:kern w:val="0"/>
                <w:sz w:val="20"/>
                <w:szCs w:val="20"/>
              </w:rPr>
              <w:t>（上年结转</w:t>
            </w:r>
            <w:r>
              <w:rPr>
                <w:rFonts w:ascii="Times New Roman" w:hAnsi="Times New Roman"/>
                <w:kern w:val="0"/>
                <w:sz w:val="20"/>
                <w:szCs w:val="20"/>
              </w:rPr>
              <w:t>+</w:t>
            </w:r>
            <w:r>
              <w:rPr>
                <w:rFonts w:hint="eastAsia" w:ascii="Times New Roman" w:hAnsi="Times New Roman"/>
                <w:kern w:val="0"/>
                <w:sz w:val="20"/>
                <w:szCs w:val="20"/>
              </w:rPr>
              <w:t>年初预算</w:t>
            </w:r>
            <w:r>
              <w:rPr>
                <w:rFonts w:ascii="Times New Roman" w:hAnsi="Times New Roman"/>
                <w:kern w:val="0"/>
                <w:sz w:val="20"/>
                <w:szCs w:val="20"/>
              </w:rPr>
              <w:t>+</w:t>
            </w:r>
            <w:r>
              <w:rPr>
                <w:rFonts w:hint="eastAsia" w:ascii="Times New Roman" w:hAnsi="Times New Roman"/>
                <w:kern w:val="0"/>
                <w:sz w:val="20"/>
                <w:szCs w:val="20"/>
              </w:rPr>
              <w:t>本年追加预算</w:t>
            </w:r>
            <w:r>
              <w:rPr>
                <w:rFonts w:ascii="Times New Roman" w:hAnsi="Times New Roman"/>
                <w:kern w:val="0"/>
                <w:sz w:val="20"/>
                <w:szCs w:val="20"/>
              </w:rPr>
              <w:t>-</w:t>
            </w:r>
            <w:r>
              <w:rPr>
                <w:rFonts w:hint="eastAsia" w:ascii="Times New Roman" w:hAnsi="Times New Roman"/>
                <w:kern w:val="0"/>
                <w:sz w:val="20"/>
                <w:szCs w:val="20"/>
              </w:rPr>
              <w:t>年末结余</w:t>
            </w:r>
            <w:r>
              <w:rPr>
                <w:rFonts w:ascii="Times New Roman" w:hAnsi="Times New Roman"/>
                <w:kern w:val="0"/>
                <w:sz w:val="20"/>
                <w:szCs w:val="20"/>
              </w:rPr>
              <w:t>/</w:t>
            </w:r>
            <w:r>
              <w:rPr>
                <w:rFonts w:hint="eastAsia" w:ascii="Times New Roman" w:hAnsi="Times New Roman"/>
                <w:kern w:val="0"/>
                <w:sz w:val="20"/>
                <w:szCs w:val="20"/>
              </w:rPr>
              <w:t>上年结转</w:t>
            </w:r>
            <w:r>
              <w:rPr>
                <w:rFonts w:ascii="Times New Roman" w:hAnsi="Times New Roman"/>
                <w:kern w:val="0"/>
                <w:sz w:val="20"/>
                <w:szCs w:val="20"/>
              </w:rPr>
              <w:t>+</w:t>
            </w:r>
            <w:r>
              <w:rPr>
                <w:rFonts w:hint="eastAsia" w:ascii="Times New Roman" w:hAnsi="Times New Roman"/>
                <w:kern w:val="0"/>
                <w:sz w:val="20"/>
                <w:szCs w:val="20"/>
              </w:rPr>
              <w:t>年初预算</w:t>
            </w:r>
            <w:r>
              <w:rPr>
                <w:rFonts w:ascii="Times New Roman" w:hAnsi="Times New Roman"/>
                <w:kern w:val="0"/>
                <w:sz w:val="20"/>
                <w:szCs w:val="20"/>
              </w:rPr>
              <w:t>+</w:t>
            </w:r>
            <w:r>
              <w:rPr>
                <w:rFonts w:hint="eastAsia" w:ascii="Times New Roman" w:hAnsi="Times New Roman"/>
                <w:kern w:val="0"/>
                <w:sz w:val="20"/>
                <w:szCs w:val="20"/>
              </w:rPr>
              <w:t>本年追加预算）</w:t>
            </w:r>
            <w:r>
              <w:rPr>
                <w:rFonts w:ascii="Times New Roman" w:hAnsi="Times New Roman"/>
                <w:kern w:val="0"/>
                <w:sz w:val="20"/>
                <w:szCs w:val="20"/>
              </w:rPr>
              <w:t>×100%</w:t>
            </w:r>
            <w:r>
              <w:rPr>
                <w:rFonts w:hint="eastAsia" w:ascii="Times New Roman" w:hAnsi="Times New Roman"/>
                <w:kern w:val="0"/>
                <w:sz w:val="20"/>
                <w:szCs w:val="20"/>
              </w:rPr>
              <w:t>。</w:t>
            </w:r>
          </w:p>
        </w:tc>
        <w:tc>
          <w:tcPr>
            <w:tcW w:w="675" w:type="dxa"/>
            <w:tcBorders>
              <w:top w:val="nil"/>
              <w:left w:val="nil"/>
              <w:bottom w:val="single" w:color="auto" w:sz="4" w:space="0"/>
              <w:right w:val="single" w:color="auto" w:sz="4" w:space="0"/>
            </w:tcBorders>
            <w:vAlign w:val="center"/>
          </w:tcPr>
          <w:p>
            <w:pPr>
              <w:widowControl/>
              <w:spacing w:line="280" w:lineRule="exact"/>
              <w:jc w:val="center"/>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lang w:val="en-US" w:eastAsia="zh-CN"/>
              </w:rPr>
              <w:t>5</w:t>
            </w:r>
          </w:p>
        </w:tc>
        <w:tc>
          <w:tcPr>
            <w:tcW w:w="1395" w:type="dxa"/>
            <w:tcBorders>
              <w:top w:val="nil"/>
              <w:left w:val="nil"/>
              <w:bottom w:val="single" w:color="auto" w:sz="4" w:space="0"/>
              <w:right w:val="single" w:color="auto" w:sz="4" w:space="0"/>
            </w:tcBorders>
          </w:tcPr>
          <w:p>
            <w:pPr>
              <w:widowControl/>
              <w:spacing w:line="280" w:lineRule="exact"/>
              <w:jc w:val="left"/>
              <w:rPr>
                <w:rFonts w:hint="default" w:ascii="Times New Roman" w:hAnsi="Times New Roman" w:eastAsia="仿宋_GB2312"/>
                <w:kern w:val="0"/>
                <w:sz w:val="20"/>
                <w:szCs w:val="20"/>
                <w:lang w:val="en-US" w:eastAsia="zh-CN"/>
              </w:rPr>
            </w:pPr>
            <w:r>
              <w:rPr>
                <w:rFonts w:hint="eastAsia" w:ascii="Times New Roman" w:hAnsi="Times New Roman"/>
                <w:kern w:val="0"/>
                <w:sz w:val="20"/>
                <w:szCs w:val="20"/>
                <w:lang w:val="en-US" w:eastAsia="zh-CN"/>
              </w:rPr>
              <w:t>2018年度我单位预算完成率为100%</w:t>
            </w:r>
          </w:p>
        </w:tc>
      </w:tr>
      <w:tr>
        <w:tblPrEx>
          <w:tblCellMar>
            <w:top w:w="0" w:type="dxa"/>
            <w:left w:w="108" w:type="dxa"/>
            <w:bottom w:w="0" w:type="dxa"/>
            <w:right w:w="108" w:type="dxa"/>
          </w:tblCellMar>
        </w:tblPrEx>
        <w:trPr>
          <w:trHeight w:val="973"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预算</w:t>
            </w:r>
          </w:p>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控制率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5</w:t>
            </w:r>
          </w:p>
        </w:tc>
        <w:tc>
          <w:tcPr>
            <w:tcW w:w="2324"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预算控制率</w:t>
            </w:r>
            <w:r>
              <w:rPr>
                <w:rFonts w:ascii="Times New Roman" w:hAnsi="Times New Roman"/>
                <w:kern w:val="0"/>
                <w:sz w:val="20"/>
                <w:szCs w:val="20"/>
              </w:rPr>
              <w:t>=0</w:t>
            </w:r>
            <w:r>
              <w:rPr>
                <w:rFonts w:hint="eastAsia" w:ascii="Times New Roman" w:hAnsi="Times New Roman"/>
                <w:kern w:val="0"/>
                <w:sz w:val="20"/>
                <w:szCs w:val="20"/>
              </w:rPr>
              <w:t>，计</w:t>
            </w:r>
            <w:r>
              <w:rPr>
                <w:rFonts w:ascii="Times New Roman" w:hAnsi="Times New Roman"/>
                <w:kern w:val="0"/>
                <w:sz w:val="20"/>
                <w:szCs w:val="20"/>
              </w:rPr>
              <w:t>5</w:t>
            </w:r>
            <w:r>
              <w:rPr>
                <w:rFonts w:hint="eastAsia" w:ascii="Times New Roman" w:hAnsi="Times New Roman"/>
                <w:kern w:val="0"/>
                <w:sz w:val="20"/>
                <w:szCs w:val="20"/>
              </w:rPr>
              <w:t>分；</w:t>
            </w:r>
            <w:r>
              <w:rPr>
                <w:rFonts w:ascii="Times New Roman" w:hAnsi="Times New Roman"/>
                <w:kern w:val="0"/>
                <w:sz w:val="20"/>
                <w:szCs w:val="20"/>
              </w:rPr>
              <w:t>0-10%</w:t>
            </w:r>
            <w:r>
              <w:rPr>
                <w:rFonts w:hint="eastAsia" w:ascii="Times New Roman" w:hAnsi="Times New Roman"/>
                <w:kern w:val="0"/>
                <w:sz w:val="20"/>
                <w:szCs w:val="20"/>
              </w:rPr>
              <w:t>（含），计</w:t>
            </w:r>
            <w:r>
              <w:rPr>
                <w:rFonts w:ascii="Times New Roman" w:hAnsi="Times New Roman"/>
                <w:kern w:val="0"/>
                <w:sz w:val="20"/>
                <w:szCs w:val="20"/>
              </w:rPr>
              <w:t>4</w:t>
            </w:r>
            <w:r>
              <w:rPr>
                <w:rFonts w:hint="eastAsia" w:ascii="Times New Roman" w:hAnsi="Times New Roman"/>
                <w:kern w:val="0"/>
                <w:sz w:val="20"/>
                <w:szCs w:val="20"/>
              </w:rPr>
              <w:t>分；</w:t>
            </w:r>
            <w:r>
              <w:rPr>
                <w:rFonts w:ascii="Times New Roman" w:hAnsi="Times New Roman"/>
                <w:kern w:val="0"/>
                <w:sz w:val="20"/>
                <w:szCs w:val="20"/>
              </w:rPr>
              <w:t>10-20%</w:t>
            </w:r>
            <w:r>
              <w:rPr>
                <w:rFonts w:hint="eastAsia" w:ascii="Times New Roman" w:hAnsi="Times New Roman"/>
                <w:kern w:val="0"/>
                <w:sz w:val="20"/>
                <w:szCs w:val="20"/>
              </w:rPr>
              <w:t>（含），计</w:t>
            </w:r>
            <w:r>
              <w:rPr>
                <w:rFonts w:ascii="Times New Roman" w:hAnsi="Times New Roman"/>
                <w:kern w:val="0"/>
                <w:sz w:val="20"/>
                <w:szCs w:val="20"/>
              </w:rPr>
              <w:t>3</w:t>
            </w:r>
            <w:r>
              <w:rPr>
                <w:rFonts w:hint="eastAsia" w:ascii="Times New Roman" w:hAnsi="Times New Roman"/>
                <w:kern w:val="0"/>
                <w:sz w:val="20"/>
                <w:szCs w:val="20"/>
              </w:rPr>
              <w:t>分；</w:t>
            </w:r>
            <w:r>
              <w:rPr>
                <w:rFonts w:ascii="Times New Roman" w:hAnsi="Times New Roman"/>
                <w:kern w:val="0"/>
                <w:sz w:val="20"/>
                <w:szCs w:val="20"/>
              </w:rPr>
              <w:t>20-30%</w:t>
            </w:r>
            <w:r>
              <w:rPr>
                <w:rFonts w:hint="eastAsia" w:ascii="Times New Roman" w:hAnsi="Times New Roman"/>
                <w:kern w:val="0"/>
                <w:sz w:val="20"/>
                <w:szCs w:val="20"/>
              </w:rPr>
              <w:t>（含），计</w:t>
            </w:r>
            <w:r>
              <w:rPr>
                <w:rFonts w:ascii="Times New Roman" w:hAnsi="Times New Roman"/>
                <w:kern w:val="0"/>
                <w:sz w:val="20"/>
                <w:szCs w:val="20"/>
              </w:rPr>
              <w:t>2</w:t>
            </w:r>
            <w:r>
              <w:rPr>
                <w:rFonts w:hint="eastAsia" w:ascii="Times New Roman" w:hAnsi="Times New Roman"/>
                <w:kern w:val="0"/>
                <w:sz w:val="20"/>
                <w:szCs w:val="20"/>
              </w:rPr>
              <w:t>分；大于</w:t>
            </w:r>
            <w:r>
              <w:rPr>
                <w:rFonts w:ascii="Times New Roman" w:hAnsi="Times New Roman"/>
                <w:kern w:val="0"/>
                <w:sz w:val="20"/>
                <w:szCs w:val="20"/>
              </w:rPr>
              <w:t>30%</w:t>
            </w:r>
            <w:r>
              <w:rPr>
                <w:rFonts w:hint="eastAsia" w:ascii="Times New Roman" w:hAnsi="Times New Roman"/>
                <w:kern w:val="0"/>
                <w:sz w:val="20"/>
                <w:szCs w:val="20"/>
              </w:rPr>
              <w:t>不得分</w:t>
            </w:r>
          </w:p>
        </w:tc>
        <w:tc>
          <w:tcPr>
            <w:tcW w:w="2549"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预算控制率</w:t>
            </w:r>
            <w:r>
              <w:rPr>
                <w:rFonts w:ascii="Times New Roman" w:hAnsi="Times New Roman"/>
                <w:kern w:val="0"/>
                <w:sz w:val="20"/>
                <w:szCs w:val="20"/>
              </w:rPr>
              <w:t>=</w:t>
            </w:r>
            <w:r>
              <w:rPr>
                <w:rFonts w:hint="eastAsia" w:ascii="Times New Roman" w:hAnsi="Times New Roman"/>
                <w:kern w:val="0"/>
                <w:sz w:val="20"/>
                <w:szCs w:val="20"/>
              </w:rPr>
              <w:t>（本年追加预算</w:t>
            </w:r>
            <w:r>
              <w:rPr>
                <w:rFonts w:ascii="Times New Roman" w:hAnsi="Times New Roman"/>
                <w:kern w:val="0"/>
                <w:sz w:val="20"/>
                <w:szCs w:val="20"/>
              </w:rPr>
              <w:t>/</w:t>
            </w:r>
            <w:r>
              <w:rPr>
                <w:rFonts w:hint="eastAsia" w:ascii="Times New Roman" w:hAnsi="Times New Roman"/>
                <w:kern w:val="0"/>
                <w:sz w:val="20"/>
                <w:szCs w:val="20"/>
              </w:rPr>
              <w:t>年初预算）</w:t>
            </w:r>
            <w:r>
              <w:rPr>
                <w:rFonts w:ascii="Times New Roman" w:hAnsi="Times New Roman"/>
                <w:kern w:val="0"/>
                <w:sz w:val="20"/>
                <w:szCs w:val="20"/>
              </w:rPr>
              <w:t>×100%</w:t>
            </w:r>
            <w:r>
              <w:rPr>
                <w:rFonts w:hint="eastAsia" w:ascii="Times New Roman" w:hAnsi="Times New Roman"/>
                <w:kern w:val="0"/>
                <w:sz w:val="20"/>
                <w:szCs w:val="20"/>
              </w:rPr>
              <w:t>。</w:t>
            </w:r>
          </w:p>
        </w:tc>
        <w:tc>
          <w:tcPr>
            <w:tcW w:w="675" w:type="dxa"/>
            <w:tcBorders>
              <w:top w:val="nil"/>
              <w:left w:val="nil"/>
              <w:bottom w:val="single" w:color="auto" w:sz="4" w:space="0"/>
              <w:right w:val="single" w:color="auto" w:sz="4" w:space="0"/>
            </w:tcBorders>
            <w:vAlign w:val="center"/>
          </w:tcPr>
          <w:p>
            <w:pPr>
              <w:widowControl/>
              <w:spacing w:line="280" w:lineRule="exact"/>
              <w:jc w:val="center"/>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lang w:val="en-US" w:eastAsia="zh-CN"/>
              </w:rPr>
              <w:t>2</w:t>
            </w:r>
          </w:p>
        </w:tc>
        <w:tc>
          <w:tcPr>
            <w:tcW w:w="1395" w:type="dxa"/>
            <w:tcBorders>
              <w:top w:val="nil"/>
              <w:left w:val="nil"/>
              <w:bottom w:val="single" w:color="auto" w:sz="4" w:space="0"/>
              <w:right w:val="single" w:color="auto" w:sz="4" w:space="0"/>
            </w:tcBorders>
          </w:tcPr>
          <w:p>
            <w:pPr>
              <w:widowControl/>
              <w:spacing w:line="280" w:lineRule="exact"/>
              <w:jc w:val="left"/>
              <w:rPr>
                <w:rFonts w:hint="eastAsia" w:ascii="Times New Roman" w:hAnsi="Times New Roman" w:eastAsia="仿宋_GB2312"/>
                <w:kern w:val="0"/>
                <w:sz w:val="20"/>
                <w:szCs w:val="20"/>
                <w:lang w:eastAsia="zh-CN"/>
              </w:rPr>
            </w:pPr>
            <w:r>
              <w:rPr>
                <w:rFonts w:hint="eastAsia" w:ascii="Times New Roman" w:hAnsi="Times New Roman"/>
                <w:kern w:val="0"/>
                <w:sz w:val="20"/>
                <w:szCs w:val="20"/>
                <w:lang w:eastAsia="zh-CN"/>
              </w:rPr>
              <w:t>本年预算执行含代建项目资金支出（预算归口不在本单位）</w:t>
            </w:r>
          </w:p>
        </w:tc>
      </w:tr>
      <w:tr>
        <w:tblPrEx>
          <w:tblCellMar>
            <w:top w:w="0" w:type="dxa"/>
            <w:left w:w="108" w:type="dxa"/>
            <w:bottom w:w="0" w:type="dxa"/>
            <w:right w:w="108" w:type="dxa"/>
          </w:tblCellMar>
        </w:tblPrEx>
        <w:trPr>
          <w:trHeight w:val="1160"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新建楼堂馆所面积控制率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5</w:t>
            </w:r>
          </w:p>
        </w:tc>
        <w:tc>
          <w:tcPr>
            <w:tcW w:w="2324"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100%</w:t>
            </w:r>
            <w:r>
              <w:rPr>
                <w:rFonts w:hint="eastAsia" w:ascii="Times New Roman" w:hAnsi="Times New Roman"/>
                <w:kern w:val="0"/>
                <w:sz w:val="20"/>
                <w:szCs w:val="20"/>
              </w:rPr>
              <w:t>以下（含）计满分，每超出</w:t>
            </w:r>
            <w:r>
              <w:rPr>
                <w:rFonts w:ascii="Times New Roman" w:hAnsi="Times New Roman"/>
                <w:kern w:val="0"/>
                <w:sz w:val="20"/>
                <w:szCs w:val="20"/>
              </w:rPr>
              <w:t>5%</w:t>
            </w:r>
            <w:r>
              <w:rPr>
                <w:rFonts w:hint="eastAsia" w:ascii="Times New Roman" w:hAnsi="Times New Roman"/>
                <w:kern w:val="0"/>
                <w:sz w:val="20"/>
                <w:szCs w:val="20"/>
              </w:rPr>
              <w:t>扣</w:t>
            </w:r>
            <w:r>
              <w:rPr>
                <w:rFonts w:ascii="Times New Roman" w:hAnsi="Times New Roman"/>
                <w:kern w:val="0"/>
                <w:sz w:val="20"/>
                <w:szCs w:val="20"/>
              </w:rPr>
              <w:t>2</w:t>
            </w:r>
            <w:r>
              <w:rPr>
                <w:rFonts w:hint="eastAsia" w:ascii="Times New Roman" w:hAnsi="Times New Roman"/>
                <w:kern w:val="0"/>
                <w:sz w:val="20"/>
                <w:szCs w:val="20"/>
              </w:rPr>
              <w:t>分，扣完为止。没有楼梯馆所项目的部门按满分计算</w:t>
            </w:r>
          </w:p>
        </w:tc>
        <w:tc>
          <w:tcPr>
            <w:tcW w:w="2549"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楼堂馆所面积控制率</w:t>
            </w:r>
            <w:r>
              <w:rPr>
                <w:rFonts w:ascii="Times New Roman" w:hAnsi="Times New Roman"/>
                <w:kern w:val="0"/>
                <w:sz w:val="20"/>
                <w:szCs w:val="20"/>
              </w:rPr>
              <w:t>=</w:t>
            </w:r>
            <w:r>
              <w:rPr>
                <w:rFonts w:hint="eastAsia" w:ascii="Times New Roman" w:hAnsi="Times New Roman"/>
                <w:kern w:val="0"/>
                <w:sz w:val="20"/>
                <w:szCs w:val="20"/>
              </w:rPr>
              <w:t>实际建设面积</w:t>
            </w:r>
            <w:r>
              <w:rPr>
                <w:rFonts w:ascii="Times New Roman" w:hAnsi="Times New Roman"/>
                <w:kern w:val="0"/>
                <w:sz w:val="20"/>
                <w:szCs w:val="20"/>
              </w:rPr>
              <w:t>/</w:t>
            </w:r>
            <w:r>
              <w:rPr>
                <w:rFonts w:hint="eastAsia" w:ascii="Times New Roman" w:hAnsi="Times New Roman"/>
                <w:kern w:val="0"/>
                <w:sz w:val="20"/>
                <w:szCs w:val="20"/>
              </w:rPr>
              <w:t>批准建设面积</w:t>
            </w:r>
            <w:r>
              <w:rPr>
                <w:rFonts w:ascii="Times New Roman" w:hAnsi="Times New Roman"/>
                <w:kern w:val="0"/>
                <w:sz w:val="20"/>
                <w:szCs w:val="20"/>
              </w:rPr>
              <w:t xml:space="preserve">×100% </w:t>
            </w:r>
            <w:r>
              <w:rPr>
                <w:rFonts w:hint="eastAsia" w:ascii="Times New Roman" w:hAnsi="Times New Roman"/>
                <w:kern w:val="0"/>
                <w:sz w:val="20"/>
                <w:szCs w:val="20"/>
              </w:rPr>
              <w:t>。</w:t>
            </w:r>
          </w:p>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该指标以</w:t>
            </w:r>
            <w:r>
              <w:rPr>
                <w:rFonts w:ascii="Times New Roman" w:hAnsi="Times New Roman"/>
                <w:kern w:val="0"/>
                <w:sz w:val="20"/>
                <w:szCs w:val="20"/>
              </w:rPr>
              <w:t>2014</w:t>
            </w:r>
            <w:r>
              <w:rPr>
                <w:rFonts w:hint="eastAsia" w:ascii="Times New Roman" w:hAnsi="Times New Roman"/>
                <w:kern w:val="0"/>
                <w:sz w:val="20"/>
                <w:szCs w:val="20"/>
              </w:rPr>
              <w:t>年完工的新建楼堂馆所为评价内容。</w:t>
            </w:r>
          </w:p>
        </w:tc>
        <w:tc>
          <w:tcPr>
            <w:tcW w:w="675" w:type="dxa"/>
            <w:tcBorders>
              <w:top w:val="nil"/>
              <w:left w:val="nil"/>
              <w:bottom w:val="single" w:color="auto" w:sz="4" w:space="0"/>
              <w:right w:val="single" w:color="auto" w:sz="4" w:space="0"/>
            </w:tcBorders>
            <w:vAlign w:val="center"/>
          </w:tcPr>
          <w:p>
            <w:pPr>
              <w:widowControl/>
              <w:spacing w:line="280" w:lineRule="exact"/>
              <w:jc w:val="center"/>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lang w:val="en-US" w:eastAsia="zh-CN"/>
              </w:rPr>
              <w:t>5</w:t>
            </w:r>
          </w:p>
        </w:tc>
        <w:tc>
          <w:tcPr>
            <w:tcW w:w="1395" w:type="dxa"/>
            <w:tcBorders>
              <w:top w:val="nil"/>
              <w:left w:val="nil"/>
              <w:bottom w:val="single" w:color="auto" w:sz="4" w:space="0"/>
              <w:right w:val="single" w:color="auto" w:sz="4" w:space="0"/>
            </w:tcBorders>
          </w:tcPr>
          <w:p>
            <w:pPr>
              <w:widowControl/>
              <w:spacing w:line="280" w:lineRule="exact"/>
              <w:jc w:val="left"/>
              <w:rPr>
                <w:rFonts w:hint="eastAsia" w:ascii="Times New Roman" w:hAnsi="Times New Roman" w:eastAsia="仿宋_GB2312"/>
                <w:kern w:val="0"/>
                <w:sz w:val="20"/>
                <w:szCs w:val="20"/>
                <w:lang w:val="en-US" w:eastAsia="zh-CN"/>
              </w:rPr>
            </w:pPr>
            <w:r>
              <w:rPr>
                <w:rFonts w:hint="eastAsia" w:ascii="Times New Roman" w:hAnsi="Times New Roman"/>
                <w:kern w:val="0"/>
                <w:sz w:val="20"/>
                <w:szCs w:val="20"/>
                <w:lang w:eastAsia="zh-CN"/>
              </w:rPr>
              <w:t>我单位没有新建楼堂馆所</w:t>
            </w:r>
          </w:p>
        </w:tc>
      </w:tr>
      <w:tr>
        <w:tblPrEx>
          <w:tblCellMar>
            <w:top w:w="0" w:type="dxa"/>
            <w:left w:w="108" w:type="dxa"/>
            <w:bottom w:w="0" w:type="dxa"/>
            <w:right w:w="108" w:type="dxa"/>
          </w:tblCellMar>
        </w:tblPrEx>
        <w:trPr>
          <w:trHeight w:val="1115"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新建楼堂馆所投资概算控制率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5</w:t>
            </w:r>
          </w:p>
        </w:tc>
        <w:tc>
          <w:tcPr>
            <w:tcW w:w="2324"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100%</w:t>
            </w:r>
            <w:r>
              <w:rPr>
                <w:rFonts w:hint="eastAsia" w:ascii="Times New Roman" w:hAnsi="Times New Roman"/>
                <w:kern w:val="0"/>
                <w:sz w:val="20"/>
                <w:szCs w:val="20"/>
              </w:rPr>
              <w:t>以下（含）计满分，每超出</w:t>
            </w:r>
            <w:r>
              <w:rPr>
                <w:rFonts w:ascii="Times New Roman" w:hAnsi="Times New Roman"/>
                <w:kern w:val="0"/>
                <w:sz w:val="20"/>
                <w:szCs w:val="20"/>
              </w:rPr>
              <w:t>5%</w:t>
            </w:r>
            <w:r>
              <w:rPr>
                <w:rFonts w:hint="eastAsia" w:ascii="Times New Roman" w:hAnsi="Times New Roman"/>
                <w:kern w:val="0"/>
                <w:sz w:val="20"/>
                <w:szCs w:val="20"/>
              </w:rPr>
              <w:t>扣</w:t>
            </w:r>
            <w:r>
              <w:rPr>
                <w:rFonts w:ascii="Times New Roman" w:hAnsi="Times New Roman"/>
                <w:kern w:val="0"/>
                <w:sz w:val="20"/>
                <w:szCs w:val="20"/>
              </w:rPr>
              <w:t>2</w:t>
            </w:r>
            <w:r>
              <w:rPr>
                <w:rFonts w:hint="eastAsia" w:ascii="Times New Roman" w:hAnsi="Times New Roman"/>
                <w:kern w:val="0"/>
                <w:sz w:val="20"/>
                <w:szCs w:val="20"/>
              </w:rPr>
              <w:t>分，扣完为止。</w:t>
            </w:r>
          </w:p>
        </w:tc>
        <w:tc>
          <w:tcPr>
            <w:tcW w:w="2549"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楼堂馆所投资预算控制率</w:t>
            </w:r>
            <w:r>
              <w:rPr>
                <w:rFonts w:ascii="Times New Roman" w:hAnsi="Times New Roman"/>
                <w:kern w:val="0"/>
                <w:sz w:val="20"/>
                <w:szCs w:val="20"/>
              </w:rPr>
              <w:t>=</w:t>
            </w:r>
            <w:r>
              <w:rPr>
                <w:rFonts w:hint="eastAsia" w:ascii="Times New Roman" w:hAnsi="Times New Roman"/>
                <w:kern w:val="0"/>
                <w:sz w:val="20"/>
                <w:szCs w:val="20"/>
              </w:rPr>
              <w:t>实际投资金额</w:t>
            </w:r>
            <w:r>
              <w:rPr>
                <w:rFonts w:ascii="Times New Roman" w:hAnsi="Times New Roman"/>
                <w:kern w:val="0"/>
                <w:sz w:val="20"/>
                <w:szCs w:val="20"/>
              </w:rPr>
              <w:t>/</w:t>
            </w:r>
            <w:r>
              <w:rPr>
                <w:rFonts w:hint="eastAsia" w:ascii="Times New Roman" w:hAnsi="Times New Roman"/>
                <w:kern w:val="0"/>
                <w:sz w:val="20"/>
                <w:szCs w:val="20"/>
              </w:rPr>
              <w:t>批准投资金额</w:t>
            </w:r>
            <w:r>
              <w:rPr>
                <w:rFonts w:ascii="Times New Roman" w:hAnsi="Times New Roman"/>
                <w:kern w:val="0"/>
                <w:sz w:val="20"/>
                <w:szCs w:val="20"/>
              </w:rPr>
              <w:t xml:space="preserve">×100% </w:t>
            </w:r>
            <w:r>
              <w:rPr>
                <w:rFonts w:hint="eastAsia" w:ascii="Times New Roman" w:hAnsi="Times New Roman"/>
                <w:kern w:val="0"/>
                <w:sz w:val="20"/>
                <w:szCs w:val="20"/>
              </w:rPr>
              <w:t>。</w:t>
            </w:r>
          </w:p>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该指标以</w:t>
            </w:r>
            <w:r>
              <w:rPr>
                <w:rFonts w:ascii="Times New Roman" w:hAnsi="Times New Roman"/>
                <w:kern w:val="0"/>
                <w:sz w:val="20"/>
                <w:szCs w:val="20"/>
              </w:rPr>
              <w:t>2014</w:t>
            </w:r>
            <w:r>
              <w:rPr>
                <w:rFonts w:hint="eastAsia" w:ascii="Times New Roman" w:hAnsi="Times New Roman"/>
                <w:kern w:val="0"/>
                <w:sz w:val="20"/>
                <w:szCs w:val="20"/>
              </w:rPr>
              <w:t>年完工的新建楼堂馆所为评价内容。</w:t>
            </w:r>
          </w:p>
        </w:tc>
        <w:tc>
          <w:tcPr>
            <w:tcW w:w="675" w:type="dxa"/>
            <w:tcBorders>
              <w:top w:val="nil"/>
              <w:left w:val="nil"/>
              <w:bottom w:val="single" w:color="auto" w:sz="4" w:space="0"/>
              <w:right w:val="single" w:color="auto" w:sz="4" w:space="0"/>
            </w:tcBorders>
            <w:vAlign w:val="center"/>
          </w:tcPr>
          <w:p>
            <w:pPr>
              <w:widowControl/>
              <w:spacing w:line="280" w:lineRule="exact"/>
              <w:jc w:val="center"/>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lang w:val="en-US" w:eastAsia="zh-CN"/>
              </w:rPr>
              <w:t>5</w:t>
            </w:r>
          </w:p>
        </w:tc>
        <w:tc>
          <w:tcPr>
            <w:tcW w:w="1395" w:type="dxa"/>
            <w:tcBorders>
              <w:top w:val="nil"/>
              <w:left w:val="nil"/>
              <w:bottom w:val="single" w:color="auto" w:sz="4" w:space="0"/>
              <w:right w:val="single" w:color="auto" w:sz="4" w:space="0"/>
            </w:tcBorders>
          </w:tcPr>
          <w:p>
            <w:pPr>
              <w:widowControl/>
              <w:spacing w:line="280" w:lineRule="exact"/>
              <w:jc w:val="left"/>
              <w:rPr>
                <w:rFonts w:hint="default" w:ascii="Times New Roman" w:hAnsi="Times New Roman" w:eastAsia="仿宋_GB2312"/>
                <w:kern w:val="0"/>
                <w:sz w:val="20"/>
                <w:szCs w:val="20"/>
                <w:lang w:val="en-US" w:eastAsia="zh-CN"/>
              </w:rPr>
            </w:pPr>
            <w:r>
              <w:rPr>
                <w:rFonts w:hint="eastAsia" w:ascii="Times New Roman" w:hAnsi="Times New Roman"/>
                <w:kern w:val="0"/>
                <w:sz w:val="20"/>
                <w:szCs w:val="20"/>
                <w:lang w:eastAsia="zh-CN"/>
              </w:rPr>
              <w:t>我单位没有新建楼堂馆所</w:t>
            </w:r>
          </w:p>
        </w:tc>
      </w:tr>
      <w:tr>
        <w:tblPrEx>
          <w:tblCellMar>
            <w:top w:w="0" w:type="dxa"/>
            <w:left w:w="108" w:type="dxa"/>
            <w:bottom w:w="0" w:type="dxa"/>
            <w:right w:w="108" w:type="dxa"/>
          </w:tblCellMar>
        </w:tblPrEx>
        <w:trPr>
          <w:trHeight w:val="1448"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673"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预算管理</w:t>
            </w:r>
          </w:p>
        </w:tc>
        <w:tc>
          <w:tcPr>
            <w:tcW w:w="416" w:type="dxa"/>
            <w:vMerge w:val="restart"/>
            <w:tcBorders>
              <w:top w:val="nil"/>
              <w:left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41</w:t>
            </w: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公用经费控制率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8</w:t>
            </w:r>
          </w:p>
        </w:tc>
        <w:tc>
          <w:tcPr>
            <w:tcW w:w="2324"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100%</w:t>
            </w:r>
            <w:r>
              <w:rPr>
                <w:rFonts w:hint="eastAsia" w:ascii="Times New Roman" w:hAnsi="Times New Roman"/>
                <w:kern w:val="0"/>
                <w:sz w:val="20"/>
                <w:szCs w:val="20"/>
              </w:rPr>
              <w:t>以下（含）计满分，每超出</w:t>
            </w:r>
            <w:r>
              <w:rPr>
                <w:rFonts w:ascii="Times New Roman" w:hAnsi="Times New Roman"/>
                <w:kern w:val="0"/>
                <w:sz w:val="20"/>
                <w:szCs w:val="20"/>
              </w:rPr>
              <w:t>1%</w:t>
            </w:r>
            <w:r>
              <w:rPr>
                <w:rFonts w:hint="eastAsia" w:ascii="Times New Roman" w:hAnsi="Times New Roman"/>
                <w:kern w:val="0"/>
                <w:sz w:val="20"/>
                <w:szCs w:val="20"/>
              </w:rPr>
              <w:t>扣</w:t>
            </w:r>
            <w:r>
              <w:rPr>
                <w:rFonts w:ascii="Times New Roman" w:hAnsi="Times New Roman"/>
                <w:kern w:val="0"/>
                <w:sz w:val="20"/>
                <w:szCs w:val="20"/>
              </w:rPr>
              <w:t>1</w:t>
            </w:r>
            <w:r>
              <w:rPr>
                <w:rFonts w:hint="eastAsia" w:ascii="Times New Roman" w:hAnsi="Times New Roman"/>
                <w:kern w:val="0"/>
                <w:sz w:val="20"/>
                <w:szCs w:val="20"/>
              </w:rPr>
              <w:t>分，扣完为止。</w:t>
            </w:r>
          </w:p>
        </w:tc>
        <w:tc>
          <w:tcPr>
            <w:tcW w:w="2549"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公用经费控制率</w:t>
            </w:r>
            <w:r>
              <w:rPr>
                <w:rFonts w:ascii="Times New Roman" w:hAnsi="Times New Roman"/>
                <w:kern w:val="0"/>
                <w:sz w:val="20"/>
                <w:szCs w:val="20"/>
              </w:rPr>
              <w:t>=</w:t>
            </w:r>
            <w:r>
              <w:rPr>
                <w:rFonts w:hint="eastAsia" w:ascii="Times New Roman" w:hAnsi="Times New Roman"/>
                <w:kern w:val="0"/>
                <w:sz w:val="20"/>
                <w:szCs w:val="20"/>
              </w:rPr>
              <w:t>（实际支出公用经费总额</w:t>
            </w:r>
            <w:r>
              <w:rPr>
                <w:rFonts w:ascii="Times New Roman" w:hAnsi="Times New Roman"/>
                <w:kern w:val="0"/>
                <w:sz w:val="20"/>
                <w:szCs w:val="20"/>
              </w:rPr>
              <w:t>/</w:t>
            </w:r>
            <w:r>
              <w:rPr>
                <w:rFonts w:hint="eastAsia" w:ascii="Times New Roman" w:hAnsi="Times New Roman"/>
                <w:kern w:val="0"/>
                <w:sz w:val="20"/>
                <w:szCs w:val="20"/>
              </w:rPr>
              <w:t>预算安排公用经费总额）</w:t>
            </w:r>
            <w:r>
              <w:rPr>
                <w:rFonts w:ascii="Times New Roman" w:hAnsi="Times New Roman"/>
                <w:kern w:val="0"/>
                <w:sz w:val="20"/>
                <w:szCs w:val="20"/>
              </w:rPr>
              <w:t>×100%</w:t>
            </w:r>
            <w:r>
              <w:rPr>
                <w:rFonts w:hint="eastAsia" w:ascii="Times New Roman" w:hAnsi="Times New Roman"/>
                <w:kern w:val="0"/>
                <w:sz w:val="20"/>
                <w:szCs w:val="20"/>
              </w:rPr>
              <w:t>。</w:t>
            </w:r>
          </w:p>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公用经费支出是指部门基本支出中的一般商品和服务支出。</w:t>
            </w:r>
          </w:p>
        </w:tc>
        <w:tc>
          <w:tcPr>
            <w:tcW w:w="675" w:type="dxa"/>
            <w:tcBorders>
              <w:top w:val="nil"/>
              <w:left w:val="nil"/>
              <w:bottom w:val="single" w:color="auto" w:sz="4" w:space="0"/>
              <w:right w:val="single" w:color="auto" w:sz="4" w:space="0"/>
            </w:tcBorders>
            <w:vAlign w:val="center"/>
          </w:tcPr>
          <w:p>
            <w:pPr>
              <w:widowControl/>
              <w:spacing w:line="280" w:lineRule="exact"/>
              <w:jc w:val="center"/>
              <w:rPr>
                <w:rFonts w:hint="default" w:ascii="Times New Roman" w:hAnsi="Times New Roman" w:eastAsia="仿宋_GB2312"/>
                <w:kern w:val="0"/>
                <w:sz w:val="20"/>
                <w:szCs w:val="20"/>
                <w:lang w:val="en-US" w:eastAsia="zh-CN"/>
              </w:rPr>
            </w:pPr>
            <w:r>
              <w:rPr>
                <w:rFonts w:hint="eastAsia" w:ascii="Times New Roman" w:hAnsi="Times New Roman"/>
                <w:kern w:val="0"/>
                <w:sz w:val="20"/>
                <w:szCs w:val="20"/>
                <w:lang w:val="en-US" w:eastAsia="zh-CN"/>
              </w:rPr>
              <w:t>2</w:t>
            </w:r>
          </w:p>
        </w:tc>
        <w:tc>
          <w:tcPr>
            <w:tcW w:w="1395" w:type="dxa"/>
            <w:tcBorders>
              <w:top w:val="nil"/>
              <w:left w:val="nil"/>
              <w:bottom w:val="single" w:color="auto" w:sz="4" w:space="0"/>
              <w:right w:val="single" w:color="auto" w:sz="4" w:space="0"/>
            </w:tcBorders>
          </w:tcPr>
          <w:p>
            <w:pPr>
              <w:widowControl/>
              <w:spacing w:line="280" w:lineRule="exact"/>
              <w:jc w:val="left"/>
              <w:rPr>
                <w:rFonts w:hint="default" w:ascii="Times New Roman" w:hAnsi="Times New Roman" w:eastAsia="仿宋_GB2312"/>
                <w:kern w:val="0"/>
                <w:sz w:val="20"/>
                <w:szCs w:val="20"/>
                <w:lang w:val="en-US" w:eastAsia="zh-CN"/>
              </w:rPr>
            </w:pPr>
            <w:r>
              <w:rPr>
                <w:rFonts w:hint="eastAsia" w:ascii="Times New Roman" w:hAnsi="Times New Roman"/>
                <w:kern w:val="0"/>
                <w:sz w:val="20"/>
                <w:szCs w:val="20"/>
                <w:lang w:val="en-US" w:eastAsia="zh-CN"/>
              </w:rPr>
              <w:t>本单位公用经费开支包含代建项目相关劳务费、会议费开支</w:t>
            </w:r>
          </w:p>
        </w:tc>
      </w:tr>
      <w:tr>
        <w:tblPrEx>
          <w:tblCellMar>
            <w:top w:w="0" w:type="dxa"/>
            <w:left w:w="108" w:type="dxa"/>
            <w:bottom w:w="0" w:type="dxa"/>
            <w:right w:w="108" w:type="dxa"/>
          </w:tblCellMar>
        </w:tblPrEx>
        <w:trPr>
          <w:trHeight w:val="740"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left w:val="single" w:color="auto"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三公经费控制率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8</w:t>
            </w:r>
          </w:p>
        </w:tc>
        <w:tc>
          <w:tcPr>
            <w:tcW w:w="2324"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100%</w:t>
            </w:r>
            <w:r>
              <w:rPr>
                <w:rFonts w:hint="eastAsia" w:ascii="Times New Roman" w:hAnsi="Times New Roman"/>
                <w:kern w:val="0"/>
                <w:sz w:val="20"/>
                <w:szCs w:val="20"/>
              </w:rPr>
              <w:t>以下（含）计满分，每超出</w:t>
            </w:r>
            <w:r>
              <w:rPr>
                <w:rFonts w:ascii="Times New Roman" w:hAnsi="Times New Roman"/>
                <w:kern w:val="0"/>
                <w:sz w:val="20"/>
                <w:szCs w:val="20"/>
              </w:rPr>
              <w:t>1%</w:t>
            </w:r>
            <w:r>
              <w:rPr>
                <w:rFonts w:hint="eastAsia" w:ascii="Times New Roman" w:hAnsi="Times New Roman"/>
                <w:kern w:val="0"/>
                <w:sz w:val="20"/>
                <w:szCs w:val="20"/>
              </w:rPr>
              <w:t>扣</w:t>
            </w:r>
            <w:r>
              <w:rPr>
                <w:rFonts w:ascii="Times New Roman" w:hAnsi="Times New Roman"/>
                <w:kern w:val="0"/>
                <w:sz w:val="20"/>
                <w:szCs w:val="20"/>
              </w:rPr>
              <w:t>1</w:t>
            </w:r>
            <w:r>
              <w:rPr>
                <w:rFonts w:hint="eastAsia" w:ascii="Times New Roman" w:hAnsi="Times New Roman"/>
                <w:kern w:val="0"/>
                <w:sz w:val="20"/>
                <w:szCs w:val="20"/>
              </w:rPr>
              <w:t>分，扣完为止。</w:t>
            </w:r>
          </w:p>
        </w:tc>
        <w:tc>
          <w:tcPr>
            <w:tcW w:w="2549"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控制率</w:t>
            </w:r>
            <w:r>
              <w:rPr>
                <w:rFonts w:ascii="Times New Roman" w:hAnsi="Times New Roman"/>
                <w:kern w:val="0"/>
                <w:sz w:val="20"/>
                <w:szCs w:val="20"/>
              </w:rPr>
              <w:t>-</w:t>
            </w:r>
            <w:r>
              <w:rPr>
                <w:rFonts w:hint="eastAsia" w:ascii="Times New Roman" w:hAnsi="Times New Roman"/>
                <w:kern w:val="0"/>
                <w:sz w:val="20"/>
                <w:szCs w:val="20"/>
              </w:rPr>
              <w:t>（</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实际支出数</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预算安排数）</w:t>
            </w:r>
            <w:r>
              <w:rPr>
                <w:rFonts w:ascii="Times New Roman" w:hAnsi="Times New Roman"/>
                <w:kern w:val="0"/>
                <w:sz w:val="20"/>
                <w:szCs w:val="20"/>
              </w:rPr>
              <w:t>×100%</w:t>
            </w:r>
            <w:r>
              <w:rPr>
                <w:rFonts w:hint="eastAsia" w:ascii="Times New Roman" w:hAnsi="Times New Roman"/>
                <w:kern w:val="0"/>
                <w:sz w:val="20"/>
                <w:szCs w:val="20"/>
              </w:rPr>
              <w:t>。</w:t>
            </w:r>
          </w:p>
        </w:tc>
        <w:tc>
          <w:tcPr>
            <w:tcW w:w="675" w:type="dxa"/>
            <w:tcBorders>
              <w:top w:val="nil"/>
              <w:left w:val="nil"/>
              <w:bottom w:val="single" w:color="auto" w:sz="4" w:space="0"/>
              <w:right w:val="single" w:color="auto" w:sz="4" w:space="0"/>
            </w:tcBorders>
            <w:vAlign w:val="center"/>
          </w:tcPr>
          <w:p>
            <w:pPr>
              <w:widowControl/>
              <w:spacing w:line="280" w:lineRule="exact"/>
              <w:jc w:val="center"/>
              <w:rPr>
                <w:rFonts w:hint="eastAsia" w:ascii="Times New Roman" w:hAnsi="Times New Roman" w:eastAsia="仿宋_GB2312"/>
                <w:kern w:val="0"/>
                <w:sz w:val="20"/>
                <w:szCs w:val="20"/>
                <w:lang w:val="en-US" w:eastAsia="zh-CN"/>
              </w:rPr>
            </w:pPr>
            <w:r>
              <w:rPr>
                <w:rFonts w:hint="eastAsia" w:ascii="Times New Roman" w:hAnsi="Times New Roman"/>
                <w:kern w:val="0"/>
                <w:sz w:val="20"/>
                <w:szCs w:val="20"/>
                <w:lang w:val="en-US" w:eastAsia="zh-CN"/>
              </w:rPr>
              <w:t>8</w:t>
            </w:r>
          </w:p>
        </w:tc>
        <w:tc>
          <w:tcPr>
            <w:tcW w:w="1395" w:type="dxa"/>
            <w:tcBorders>
              <w:top w:val="nil"/>
              <w:left w:val="nil"/>
              <w:bottom w:val="single" w:color="auto" w:sz="4" w:space="0"/>
              <w:right w:val="single" w:color="auto" w:sz="4" w:space="0"/>
            </w:tcBorders>
          </w:tcPr>
          <w:p>
            <w:pPr>
              <w:widowControl/>
              <w:spacing w:line="280" w:lineRule="exact"/>
              <w:jc w:val="left"/>
              <w:rPr>
                <w:rFonts w:hint="default" w:ascii="Times New Roman" w:hAnsi="Times New Roman" w:eastAsia="仿宋_GB2312"/>
                <w:kern w:val="0"/>
                <w:sz w:val="20"/>
                <w:szCs w:val="20"/>
                <w:lang w:val="en-US" w:eastAsia="zh-CN"/>
              </w:rPr>
            </w:pPr>
            <w:r>
              <w:rPr>
                <w:rFonts w:hint="eastAsia" w:ascii="Times New Roman" w:hAnsi="Times New Roman"/>
                <w:kern w:val="0"/>
                <w:sz w:val="20"/>
                <w:szCs w:val="20"/>
                <w:lang w:val="en-US" w:eastAsia="zh-CN"/>
              </w:rPr>
              <w:t>2018年度三公经费控制率为3.2%</w:t>
            </w:r>
          </w:p>
        </w:tc>
      </w:tr>
      <w:tr>
        <w:tblPrEx>
          <w:tblCellMar>
            <w:top w:w="0" w:type="dxa"/>
            <w:left w:w="108" w:type="dxa"/>
            <w:bottom w:w="0" w:type="dxa"/>
            <w:right w:w="108" w:type="dxa"/>
          </w:tblCellMar>
        </w:tblPrEx>
        <w:trPr>
          <w:trHeight w:val="1020" w:hRule="atLeast"/>
          <w:jc w:val="center"/>
        </w:trPr>
        <w:tc>
          <w:tcPr>
            <w:tcW w:w="648"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673"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left w:val="single" w:color="auto" w:sz="4" w:space="0"/>
              <w:bottom w:val="single" w:color="auto"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政府采购执行率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6</w:t>
            </w:r>
          </w:p>
        </w:tc>
        <w:tc>
          <w:tcPr>
            <w:tcW w:w="2324"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100%</w:t>
            </w:r>
            <w:r>
              <w:rPr>
                <w:rFonts w:hint="eastAsia" w:ascii="Times New Roman" w:hAnsi="Times New Roman"/>
                <w:kern w:val="0"/>
                <w:sz w:val="20"/>
                <w:szCs w:val="20"/>
              </w:rPr>
              <w:t>计满分，每超过（降低）</w:t>
            </w:r>
            <w:r>
              <w:rPr>
                <w:rFonts w:ascii="Times New Roman" w:hAnsi="Times New Roman"/>
                <w:kern w:val="0"/>
                <w:sz w:val="20"/>
                <w:szCs w:val="20"/>
              </w:rPr>
              <w:t>5%</w:t>
            </w:r>
            <w:r>
              <w:rPr>
                <w:rFonts w:hint="eastAsia" w:ascii="Times New Roman" w:hAnsi="Times New Roman"/>
                <w:kern w:val="0"/>
                <w:sz w:val="20"/>
                <w:szCs w:val="20"/>
              </w:rPr>
              <w:t>扣</w:t>
            </w:r>
            <w:r>
              <w:rPr>
                <w:rFonts w:ascii="Times New Roman" w:hAnsi="Times New Roman"/>
                <w:kern w:val="0"/>
                <w:sz w:val="20"/>
                <w:szCs w:val="20"/>
              </w:rPr>
              <w:t>2</w:t>
            </w:r>
            <w:r>
              <w:rPr>
                <w:rFonts w:hint="eastAsia" w:ascii="Times New Roman" w:hAnsi="Times New Roman"/>
                <w:kern w:val="0"/>
                <w:sz w:val="20"/>
                <w:szCs w:val="20"/>
              </w:rPr>
              <w:t>分。扣完为止。</w:t>
            </w:r>
          </w:p>
        </w:tc>
        <w:tc>
          <w:tcPr>
            <w:tcW w:w="2549"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政府采购执行率</w:t>
            </w:r>
            <w:r>
              <w:rPr>
                <w:rFonts w:ascii="Times New Roman" w:hAnsi="Times New Roman"/>
                <w:kern w:val="0"/>
                <w:sz w:val="20"/>
                <w:szCs w:val="20"/>
              </w:rPr>
              <w:t>=</w:t>
            </w:r>
            <w:r>
              <w:rPr>
                <w:rFonts w:hint="eastAsia" w:ascii="Times New Roman" w:hAnsi="Times New Roman"/>
                <w:kern w:val="0"/>
                <w:sz w:val="20"/>
                <w:szCs w:val="20"/>
              </w:rPr>
              <w:t>（实际政府采购金额</w:t>
            </w:r>
            <w:r>
              <w:rPr>
                <w:rFonts w:ascii="Times New Roman" w:hAnsi="Times New Roman"/>
                <w:kern w:val="0"/>
                <w:sz w:val="20"/>
                <w:szCs w:val="20"/>
              </w:rPr>
              <w:t>/</w:t>
            </w:r>
            <w:r>
              <w:rPr>
                <w:rFonts w:hint="eastAsia" w:ascii="Times New Roman" w:hAnsi="Times New Roman"/>
                <w:kern w:val="0"/>
                <w:sz w:val="20"/>
                <w:szCs w:val="20"/>
              </w:rPr>
              <w:t>政府采购预算数）</w:t>
            </w:r>
            <w:r>
              <w:rPr>
                <w:rFonts w:ascii="Times New Roman" w:hAnsi="Times New Roman"/>
                <w:kern w:val="0"/>
                <w:sz w:val="20"/>
                <w:szCs w:val="20"/>
              </w:rPr>
              <w:t xml:space="preserve">×100%                </w:t>
            </w:r>
          </w:p>
        </w:tc>
        <w:tc>
          <w:tcPr>
            <w:tcW w:w="675" w:type="dxa"/>
            <w:tcBorders>
              <w:top w:val="nil"/>
              <w:left w:val="nil"/>
              <w:bottom w:val="single" w:color="auto" w:sz="4" w:space="0"/>
              <w:right w:val="single" w:color="auto" w:sz="4" w:space="0"/>
            </w:tcBorders>
            <w:vAlign w:val="center"/>
          </w:tcPr>
          <w:p>
            <w:pPr>
              <w:widowControl/>
              <w:spacing w:line="280" w:lineRule="exact"/>
              <w:jc w:val="center"/>
              <w:rPr>
                <w:rFonts w:hint="eastAsia" w:ascii="Times New Roman" w:hAnsi="Times New Roman" w:eastAsia="仿宋_GB2312"/>
                <w:kern w:val="0"/>
                <w:sz w:val="20"/>
                <w:szCs w:val="20"/>
                <w:lang w:val="en-US" w:eastAsia="zh-CN"/>
              </w:rPr>
            </w:pPr>
            <w:r>
              <w:rPr>
                <w:rFonts w:hint="eastAsia" w:ascii="Times New Roman" w:hAnsi="Times New Roman"/>
                <w:kern w:val="0"/>
                <w:sz w:val="20"/>
                <w:szCs w:val="20"/>
                <w:lang w:val="en-US" w:eastAsia="zh-CN"/>
              </w:rPr>
              <w:t>2</w:t>
            </w:r>
          </w:p>
        </w:tc>
        <w:tc>
          <w:tcPr>
            <w:tcW w:w="1395" w:type="dxa"/>
            <w:tcBorders>
              <w:top w:val="nil"/>
              <w:left w:val="nil"/>
              <w:bottom w:val="single" w:color="auto" w:sz="4" w:space="0"/>
              <w:right w:val="single" w:color="auto" w:sz="4" w:space="0"/>
            </w:tcBorders>
          </w:tcPr>
          <w:p>
            <w:pPr>
              <w:widowControl/>
              <w:spacing w:line="280" w:lineRule="exact"/>
              <w:jc w:val="left"/>
              <w:rPr>
                <w:rFonts w:hint="default" w:ascii="Times New Roman" w:hAnsi="Times New Roman" w:eastAsia="仿宋_GB2312"/>
                <w:kern w:val="0"/>
                <w:sz w:val="20"/>
                <w:szCs w:val="20"/>
                <w:lang w:val="en-US" w:eastAsia="zh-CN"/>
              </w:rPr>
            </w:pPr>
            <w:r>
              <w:rPr>
                <w:rFonts w:hint="eastAsia" w:ascii="Times New Roman" w:hAnsi="Times New Roman"/>
                <w:kern w:val="0"/>
                <w:sz w:val="20"/>
                <w:szCs w:val="20"/>
                <w:lang w:val="en-US" w:eastAsia="zh-CN"/>
              </w:rPr>
              <w:t>根据单位实际情况开展政府采购项目</w:t>
            </w:r>
          </w:p>
        </w:tc>
      </w:tr>
      <w:tr>
        <w:tblPrEx>
          <w:tblCellMar>
            <w:top w:w="0" w:type="dxa"/>
            <w:left w:w="108" w:type="dxa"/>
            <w:bottom w:w="0" w:type="dxa"/>
            <w:right w:w="108" w:type="dxa"/>
          </w:tblCellMar>
        </w:tblPrEx>
        <w:trPr>
          <w:jc w:val="center"/>
        </w:trPr>
        <w:tc>
          <w:tcPr>
            <w:tcW w:w="64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过程</w:t>
            </w:r>
          </w:p>
        </w:tc>
        <w:tc>
          <w:tcPr>
            <w:tcW w:w="416"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kern w:val="0"/>
                <w:sz w:val="20"/>
                <w:szCs w:val="20"/>
              </w:rPr>
            </w:pPr>
            <w:r>
              <w:rPr>
                <w:rFonts w:ascii="Times New Roman" w:hAnsi="Times New Roman"/>
                <w:kern w:val="0"/>
                <w:sz w:val="20"/>
                <w:szCs w:val="20"/>
              </w:rPr>
              <w:t>61</w:t>
            </w:r>
          </w:p>
        </w:tc>
        <w:tc>
          <w:tcPr>
            <w:tcW w:w="673" w:type="dxa"/>
            <w:vMerge w:val="restart"/>
            <w:tcBorders>
              <w:top w:val="single" w:color="auto" w:sz="4" w:space="0"/>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预算管理</w:t>
            </w:r>
          </w:p>
        </w:tc>
        <w:tc>
          <w:tcPr>
            <w:tcW w:w="4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ascii="Times New Roman" w:hAnsi="Times New Roman"/>
                <w:kern w:val="0"/>
                <w:sz w:val="20"/>
                <w:szCs w:val="20"/>
              </w:rPr>
              <w:t>41</w:t>
            </w:r>
          </w:p>
        </w:tc>
        <w:tc>
          <w:tcPr>
            <w:tcW w:w="107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管理制度健全性</w:t>
            </w:r>
          </w:p>
        </w:tc>
        <w:tc>
          <w:tcPr>
            <w:tcW w:w="4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8</w:t>
            </w:r>
          </w:p>
        </w:tc>
        <w:tc>
          <w:tcPr>
            <w:tcW w:w="2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kern w:val="0"/>
                <w:sz w:val="20"/>
                <w:szCs w:val="20"/>
              </w:rPr>
            </w:pPr>
            <w:r>
              <w:rPr>
                <w:rFonts w:hint="eastAsia" w:ascii="Times New Roman" w:hAnsi="Times New Roman" w:eastAsia="宋体"/>
                <w:kern w:val="0"/>
                <w:sz w:val="20"/>
                <w:szCs w:val="20"/>
              </w:rPr>
              <w:t>①</w:t>
            </w:r>
            <w:r>
              <w:rPr>
                <w:rFonts w:hint="eastAsia" w:ascii="Times New Roman" w:hAnsi="Times New Roman"/>
                <w:kern w:val="0"/>
                <w:sz w:val="20"/>
                <w:szCs w:val="20"/>
              </w:rPr>
              <w:t>有内部财务管理制度、会计核算制度等管理制度，</w:t>
            </w:r>
            <w:r>
              <w:rPr>
                <w:rFonts w:ascii="Times New Roman" w:hAnsi="Times New Roman"/>
                <w:kern w:val="0"/>
                <w:sz w:val="20"/>
                <w:szCs w:val="20"/>
              </w:rPr>
              <w:t>2</w:t>
            </w:r>
            <w:r>
              <w:rPr>
                <w:rFonts w:hint="eastAsia" w:ascii="Times New Roman" w:hAnsi="Times New Roman"/>
                <w:kern w:val="0"/>
                <w:sz w:val="20"/>
                <w:szCs w:val="20"/>
              </w:rPr>
              <w:t>分；</w:t>
            </w:r>
          </w:p>
          <w:p>
            <w:pPr>
              <w:widowControl/>
              <w:spacing w:line="240" w:lineRule="exact"/>
              <w:jc w:val="left"/>
              <w:rPr>
                <w:rFonts w:ascii="Times New Roman" w:hAnsi="Times New Roman"/>
                <w:kern w:val="0"/>
                <w:sz w:val="20"/>
                <w:szCs w:val="20"/>
              </w:rPr>
            </w:pPr>
            <w:r>
              <w:rPr>
                <w:rFonts w:hint="eastAsia" w:ascii="Times New Roman" w:hAnsi="Times New Roman" w:eastAsia="宋体"/>
                <w:kern w:val="0"/>
                <w:sz w:val="20"/>
                <w:szCs w:val="20"/>
              </w:rPr>
              <w:t>②</w:t>
            </w:r>
            <w:r>
              <w:rPr>
                <w:rFonts w:hint="eastAsia" w:ascii="Times New Roman" w:hAnsi="Times New Roman"/>
                <w:kern w:val="0"/>
                <w:sz w:val="20"/>
                <w:szCs w:val="20"/>
              </w:rPr>
              <w:t>有本部门厉行节约制度，</w:t>
            </w:r>
            <w:r>
              <w:rPr>
                <w:rFonts w:ascii="Times New Roman" w:hAnsi="Times New Roman"/>
                <w:kern w:val="0"/>
                <w:sz w:val="20"/>
                <w:szCs w:val="20"/>
              </w:rPr>
              <w:t>2</w:t>
            </w:r>
            <w:r>
              <w:rPr>
                <w:rFonts w:hint="eastAsia" w:ascii="Times New Roman" w:hAnsi="Times New Roman"/>
                <w:kern w:val="0"/>
                <w:sz w:val="20"/>
                <w:szCs w:val="20"/>
              </w:rPr>
              <w:t>分；</w:t>
            </w:r>
          </w:p>
          <w:p>
            <w:pPr>
              <w:widowControl/>
              <w:spacing w:line="240" w:lineRule="exact"/>
              <w:jc w:val="left"/>
              <w:rPr>
                <w:rFonts w:ascii="Times New Roman" w:hAnsi="Times New Roman"/>
                <w:kern w:val="0"/>
                <w:sz w:val="20"/>
                <w:szCs w:val="20"/>
              </w:rPr>
            </w:pPr>
            <w:r>
              <w:rPr>
                <w:rFonts w:hint="eastAsia" w:ascii="Times New Roman" w:hAnsi="Times New Roman" w:eastAsia="宋体"/>
                <w:kern w:val="0"/>
                <w:sz w:val="20"/>
                <w:szCs w:val="20"/>
              </w:rPr>
              <w:t>③</w:t>
            </w:r>
            <w:r>
              <w:rPr>
                <w:rFonts w:hint="eastAsia" w:ascii="Times New Roman" w:hAnsi="Times New Roman"/>
                <w:kern w:val="0"/>
                <w:sz w:val="20"/>
                <w:szCs w:val="20"/>
              </w:rPr>
              <w:t>相关管理制度合法、合规、完整，</w:t>
            </w:r>
            <w:r>
              <w:rPr>
                <w:rFonts w:ascii="Times New Roman" w:hAnsi="Times New Roman"/>
                <w:kern w:val="0"/>
                <w:sz w:val="20"/>
                <w:szCs w:val="20"/>
              </w:rPr>
              <w:t>2</w:t>
            </w:r>
            <w:r>
              <w:rPr>
                <w:rFonts w:hint="eastAsia" w:ascii="Times New Roman" w:hAnsi="Times New Roman"/>
                <w:kern w:val="0"/>
                <w:sz w:val="20"/>
                <w:szCs w:val="20"/>
              </w:rPr>
              <w:t>分；</w:t>
            </w:r>
            <w:r>
              <w:rPr>
                <w:rFonts w:hint="eastAsia" w:ascii="Times New Roman" w:hAnsi="Times New Roman" w:eastAsia="宋体"/>
                <w:kern w:val="0"/>
                <w:sz w:val="20"/>
                <w:szCs w:val="20"/>
              </w:rPr>
              <w:t>④</w:t>
            </w:r>
            <w:r>
              <w:rPr>
                <w:rFonts w:hint="eastAsia" w:ascii="Times New Roman" w:hAnsi="Times New Roman"/>
                <w:kern w:val="0"/>
                <w:sz w:val="20"/>
                <w:szCs w:val="20"/>
              </w:rPr>
              <w:t>相关管理制度得到有效执行，</w:t>
            </w:r>
            <w:r>
              <w:rPr>
                <w:rFonts w:ascii="Times New Roman" w:hAnsi="Times New Roman"/>
                <w:kern w:val="0"/>
                <w:sz w:val="20"/>
                <w:szCs w:val="20"/>
              </w:rPr>
              <w:t>2</w:t>
            </w:r>
            <w:r>
              <w:rPr>
                <w:rFonts w:hint="eastAsia" w:ascii="Times New Roman" w:hAnsi="Times New Roman"/>
                <w:kern w:val="0"/>
                <w:sz w:val="20"/>
                <w:szCs w:val="20"/>
              </w:rPr>
              <w:t>分。</w:t>
            </w:r>
          </w:p>
        </w:tc>
        <w:tc>
          <w:tcPr>
            <w:tcW w:w="2549"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　</w:t>
            </w:r>
          </w:p>
        </w:tc>
        <w:tc>
          <w:tcPr>
            <w:tcW w:w="675" w:type="dxa"/>
            <w:tcBorders>
              <w:top w:val="nil"/>
              <w:left w:val="nil"/>
              <w:bottom w:val="single" w:color="auto" w:sz="4" w:space="0"/>
              <w:right w:val="single" w:color="auto" w:sz="4" w:space="0"/>
            </w:tcBorders>
            <w:vAlign w:val="center"/>
          </w:tcPr>
          <w:p>
            <w:pPr>
              <w:widowControl/>
              <w:spacing w:line="280" w:lineRule="exact"/>
              <w:jc w:val="center"/>
              <w:rPr>
                <w:rFonts w:hint="eastAsia" w:ascii="Times New Roman" w:hAnsi="Times New Roman" w:eastAsia="仿宋_GB2312"/>
                <w:kern w:val="0"/>
                <w:sz w:val="20"/>
                <w:szCs w:val="20"/>
                <w:lang w:val="en-US" w:eastAsia="zh-CN"/>
              </w:rPr>
            </w:pPr>
            <w:r>
              <w:rPr>
                <w:rFonts w:hint="eastAsia" w:ascii="Times New Roman" w:hAnsi="Times New Roman"/>
                <w:kern w:val="0"/>
                <w:sz w:val="20"/>
                <w:szCs w:val="20"/>
                <w:lang w:val="en-US" w:eastAsia="zh-CN"/>
              </w:rPr>
              <w:t>8</w:t>
            </w:r>
          </w:p>
        </w:tc>
        <w:tc>
          <w:tcPr>
            <w:tcW w:w="1395" w:type="dxa"/>
            <w:tcBorders>
              <w:top w:val="nil"/>
              <w:left w:val="nil"/>
              <w:bottom w:val="single" w:color="auto" w:sz="4" w:space="0"/>
              <w:right w:val="single" w:color="auto" w:sz="4" w:space="0"/>
            </w:tcBorders>
          </w:tcPr>
          <w:p>
            <w:pPr>
              <w:widowControl/>
              <w:spacing w:line="280" w:lineRule="exact"/>
              <w:jc w:val="left"/>
              <w:rPr>
                <w:rFonts w:hint="eastAsia" w:ascii="Times New Roman" w:hAnsi="Times New Roman" w:eastAsia="仿宋_GB2312"/>
                <w:kern w:val="0"/>
                <w:sz w:val="20"/>
                <w:szCs w:val="20"/>
                <w:lang w:eastAsia="zh-CN"/>
              </w:rPr>
            </w:pPr>
            <w:r>
              <w:rPr>
                <w:rFonts w:hint="eastAsia" w:ascii="Times New Roman" w:hAnsi="Times New Roman"/>
                <w:kern w:val="0"/>
                <w:sz w:val="20"/>
                <w:szCs w:val="20"/>
                <w:lang w:eastAsia="zh-CN"/>
              </w:rPr>
              <w:t>我单位有内部财务管理等制度；有本部分厉行节约制度；相关制度合规合法，且得到有效执行</w:t>
            </w:r>
          </w:p>
        </w:tc>
      </w:tr>
      <w:tr>
        <w:tblPrEx>
          <w:tblCellMar>
            <w:top w:w="0" w:type="dxa"/>
            <w:left w:w="108" w:type="dxa"/>
            <w:bottom w:w="0" w:type="dxa"/>
            <w:right w:w="108" w:type="dxa"/>
          </w:tblCellMar>
        </w:tblPrEx>
        <w:trPr>
          <w:jc w:val="center"/>
        </w:trPr>
        <w:tc>
          <w:tcPr>
            <w:tcW w:w="648"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673" w:type="dxa"/>
            <w:vMerge w:val="continue"/>
            <w:tcBorders>
              <w:top w:val="single" w:color="auto" w:sz="4" w:space="0"/>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single" w:color="auto" w:sz="4" w:space="0"/>
              <w:left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107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资金使用合规性</w:t>
            </w:r>
          </w:p>
        </w:tc>
        <w:tc>
          <w:tcPr>
            <w:tcW w:w="4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6</w:t>
            </w:r>
          </w:p>
        </w:tc>
        <w:tc>
          <w:tcPr>
            <w:tcW w:w="2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kern w:val="0"/>
                <w:sz w:val="20"/>
                <w:szCs w:val="20"/>
              </w:rPr>
            </w:pPr>
            <w:r>
              <w:rPr>
                <w:rFonts w:hint="eastAsia" w:ascii="Times New Roman" w:hAnsi="Times New Roman" w:eastAsia="宋体"/>
                <w:kern w:val="0"/>
                <w:sz w:val="20"/>
                <w:szCs w:val="20"/>
              </w:rPr>
              <w:t>①</w:t>
            </w:r>
            <w:r>
              <w:rPr>
                <w:rFonts w:hint="eastAsia" w:ascii="Times New Roman" w:hAnsi="Times New Roman"/>
                <w:kern w:val="0"/>
                <w:sz w:val="20"/>
                <w:szCs w:val="20"/>
              </w:rPr>
              <w:t>支出符合国家财经法规和财务管理制度规定以及有关专项资金管理办法的规定；</w:t>
            </w:r>
            <w:r>
              <w:rPr>
                <w:rFonts w:hint="eastAsia" w:ascii="Times New Roman" w:hAnsi="Times New Roman" w:eastAsia="宋体"/>
                <w:kern w:val="0"/>
                <w:sz w:val="20"/>
                <w:szCs w:val="20"/>
              </w:rPr>
              <w:t>②</w:t>
            </w:r>
            <w:r>
              <w:rPr>
                <w:rFonts w:hint="eastAsia" w:ascii="Times New Roman" w:hAnsi="Times New Roman"/>
                <w:kern w:val="0"/>
                <w:sz w:val="20"/>
                <w:szCs w:val="20"/>
              </w:rPr>
              <w:t>资金拨付有完整的审批程序和手续；</w:t>
            </w:r>
            <w:r>
              <w:rPr>
                <w:rFonts w:hint="eastAsia" w:ascii="Times New Roman" w:hAnsi="Times New Roman" w:eastAsia="宋体"/>
                <w:kern w:val="0"/>
                <w:sz w:val="20"/>
                <w:szCs w:val="20"/>
              </w:rPr>
              <w:t>③</w:t>
            </w:r>
            <w:r>
              <w:rPr>
                <w:rFonts w:hint="eastAsia" w:ascii="Times New Roman" w:hAnsi="Times New Roman"/>
                <w:kern w:val="0"/>
                <w:sz w:val="20"/>
                <w:szCs w:val="20"/>
              </w:rPr>
              <w:t>项目支出按规定经过评估论证；</w:t>
            </w:r>
            <w:r>
              <w:rPr>
                <w:rFonts w:hint="eastAsia" w:ascii="Times New Roman" w:hAnsi="Times New Roman" w:eastAsia="宋体"/>
                <w:kern w:val="0"/>
                <w:sz w:val="20"/>
                <w:szCs w:val="20"/>
              </w:rPr>
              <w:t>④</w:t>
            </w:r>
            <w:r>
              <w:rPr>
                <w:rFonts w:hint="eastAsia" w:ascii="Times New Roman" w:hAnsi="Times New Roman"/>
                <w:kern w:val="0"/>
                <w:sz w:val="20"/>
                <w:szCs w:val="20"/>
              </w:rPr>
              <w:t>支出符合部门预算批复的用途；</w:t>
            </w:r>
            <w:r>
              <w:rPr>
                <w:rFonts w:hint="eastAsia" w:ascii="Times New Roman" w:hAnsi="Times New Roman" w:eastAsia="宋体"/>
                <w:kern w:val="0"/>
                <w:sz w:val="20"/>
                <w:szCs w:val="20"/>
              </w:rPr>
              <w:t>⑤</w:t>
            </w:r>
            <w:r>
              <w:rPr>
                <w:rFonts w:hint="eastAsia" w:ascii="Times New Roman" w:hAnsi="Times New Roman"/>
                <w:kern w:val="0"/>
                <w:sz w:val="20"/>
                <w:szCs w:val="20"/>
              </w:rPr>
              <w:t>资金使用无截留、挤占、挪用、虚列支出等情况。</w:t>
            </w:r>
          </w:p>
          <w:p>
            <w:pPr>
              <w:widowControl/>
              <w:spacing w:line="240" w:lineRule="exact"/>
              <w:jc w:val="left"/>
              <w:rPr>
                <w:rFonts w:ascii="Times New Roman" w:hAnsi="Times New Roman"/>
                <w:kern w:val="0"/>
                <w:sz w:val="20"/>
                <w:szCs w:val="20"/>
              </w:rPr>
            </w:pPr>
            <w:r>
              <w:rPr>
                <w:rFonts w:hint="eastAsia" w:ascii="Times New Roman" w:hAnsi="Times New Roman"/>
                <w:kern w:val="0"/>
                <w:sz w:val="20"/>
                <w:szCs w:val="20"/>
              </w:rPr>
              <w:t>以上情况每出现一例不符合要求的扣</w:t>
            </w:r>
            <w:r>
              <w:rPr>
                <w:rFonts w:ascii="Times New Roman" w:hAnsi="Times New Roman"/>
                <w:kern w:val="0"/>
                <w:sz w:val="20"/>
                <w:szCs w:val="20"/>
              </w:rPr>
              <w:t>1</w:t>
            </w:r>
            <w:r>
              <w:rPr>
                <w:rFonts w:hint="eastAsia" w:ascii="Times New Roman" w:hAnsi="Times New Roman"/>
                <w:kern w:val="0"/>
                <w:sz w:val="20"/>
                <w:szCs w:val="20"/>
              </w:rPr>
              <w:t>分，扣完为止。</w:t>
            </w:r>
          </w:p>
        </w:tc>
        <w:tc>
          <w:tcPr>
            <w:tcW w:w="2549"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　</w:t>
            </w:r>
          </w:p>
        </w:tc>
        <w:tc>
          <w:tcPr>
            <w:tcW w:w="675" w:type="dxa"/>
            <w:tcBorders>
              <w:top w:val="nil"/>
              <w:left w:val="nil"/>
              <w:bottom w:val="single" w:color="auto" w:sz="4" w:space="0"/>
              <w:right w:val="single" w:color="auto" w:sz="4" w:space="0"/>
            </w:tcBorders>
            <w:vAlign w:val="center"/>
          </w:tcPr>
          <w:p>
            <w:pPr>
              <w:widowControl/>
              <w:spacing w:line="280" w:lineRule="exact"/>
              <w:jc w:val="center"/>
              <w:rPr>
                <w:rFonts w:hint="default" w:ascii="Times New Roman" w:hAnsi="Times New Roman" w:eastAsia="仿宋_GB2312"/>
                <w:kern w:val="0"/>
                <w:sz w:val="20"/>
                <w:szCs w:val="20"/>
                <w:lang w:val="en-US" w:eastAsia="zh-CN"/>
              </w:rPr>
            </w:pPr>
            <w:r>
              <w:rPr>
                <w:rFonts w:hint="eastAsia" w:ascii="Times New Roman" w:hAnsi="Times New Roman"/>
                <w:kern w:val="0"/>
                <w:sz w:val="20"/>
                <w:szCs w:val="20"/>
                <w:lang w:val="en-US" w:eastAsia="zh-CN"/>
              </w:rPr>
              <w:t>6</w:t>
            </w:r>
          </w:p>
        </w:tc>
        <w:tc>
          <w:tcPr>
            <w:tcW w:w="1395" w:type="dxa"/>
            <w:tcBorders>
              <w:top w:val="nil"/>
              <w:left w:val="nil"/>
              <w:bottom w:val="single" w:color="auto" w:sz="4" w:space="0"/>
              <w:right w:val="single" w:color="auto" w:sz="4" w:space="0"/>
            </w:tcBorders>
          </w:tcPr>
          <w:p>
            <w:pPr>
              <w:widowControl/>
              <w:spacing w:line="280" w:lineRule="exact"/>
              <w:jc w:val="left"/>
              <w:rPr>
                <w:rFonts w:hint="eastAsia" w:ascii="Times New Roman" w:hAnsi="Times New Roman" w:eastAsia="仿宋_GB2312"/>
                <w:kern w:val="0"/>
                <w:sz w:val="20"/>
                <w:szCs w:val="20"/>
                <w:lang w:eastAsia="zh-CN"/>
              </w:rPr>
            </w:pPr>
            <w:r>
              <w:rPr>
                <w:rFonts w:hint="eastAsia" w:ascii="Times New Roman" w:hAnsi="Times New Roman"/>
                <w:kern w:val="0"/>
                <w:sz w:val="20"/>
                <w:szCs w:val="20"/>
                <w:lang w:eastAsia="zh-CN"/>
              </w:rPr>
              <w:t>本年度所有支出均符合</w:t>
            </w:r>
            <w:bookmarkStart w:id="0" w:name="_GoBack"/>
            <w:bookmarkEnd w:id="0"/>
            <w:r>
              <w:rPr>
                <w:rFonts w:hint="eastAsia" w:ascii="Times New Roman" w:hAnsi="Times New Roman"/>
                <w:kern w:val="0"/>
                <w:sz w:val="20"/>
                <w:szCs w:val="20"/>
              </w:rPr>
              <w:t>国家财经法规和财务管理制度规定以及有关专项资金管理办法的规定；资金拨付有完整的审批程序和手续；</w:t>
            </w:r>
            <w:r>
              <w:rPr>
                <w:rFonts w:hint="eastAsia" w:ascii="Times New Roman" w:hAnsi="Times New Roman"/>
                <w:kern w:val="0"/>
                <w:sz w:val="20"/>
                <w:szCs w:val="20"/>
                <w:lang w:eastAsia="zh-CN"/>
              </w:rPr>
              <w:t>支出均按照预算批复用途，资金使用无截留、挤占、挪用等违规情况。</w:t>
            </w:r>
          </w:p>
        </w:tc>
      </w:tr>
      <w:tr>
        <w:tblPrEx>
          <w:tblCellMar>
            <w:top w:w="0" w:type="dxa"/>
            <w:left w:w="108" w:type="dxa"/>
            <w:bottom w:w="0" w:type="dxa"/>
            <w:right w:w="108" w:type="dxa"/>
          </w:tblCellMar>
        </w:tblPrEx>
        <w:trPr>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673" w:type="dxa"/>
            <w:vMerge w:val="continue"/>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spacing w:val="-17"/>
                <w:kern w:val="0"/>
                <w:sz w:val="20"/>
                <w:szCs w:val="20"/>
              </w:rPr>
              <w:t>预决算信息</w:t>
            </w:r>
            <w:r>
              <w:rPr>
                <w:rFonts w:hint="eastAsia" w:ascii="Times New Roman" w:hAnsi="Times New Roman"/>
                <w:kern w:val="0"/>
                <w:sz w:val="20"/>
                <w:szCs w:val="20"/>
              </w:rPr>
              <w:t>公开性</w:t>
            </w:r>
          </w:p>
        </w:tc>
        <w:tc>
          <w:tcPr>
            <w:tcW w:w="41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5</w:t>
            </w:r>
          </w:p>
        </w:tc>
        <w:tc>
          <w:tcPr>
            <w:tcW w:w="2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kern w:val="0"/>
                <w:sz w:val="20"/>
                <w:szCs w:val="20"/>
              </w:rPr>
            </w:pPr>
            <w:r>
              <w:rPr>
                <w:rFonts w:hint="eastAsia" w:ascii="Times New Roman" w:hAnsi="Times New Roman" w:eastAsia="宋体"/>
                <w:kern w:val="0"/>
                <w:sz w:val="20"/>
                <w:szCs w:val="20"/>
              </w:rPr>
              <w:t>①</w:t>
            </w:r>
            <w:r>
              <w:rPr>
                <w:rFonts w:hint="eastAsia" w:ascii="Times New Roman" w:hAnsi="Times New Roman"/>
                <w:kern w:val="0"/>
                <w:sz w:val="20"/>
                <w:szCs w:val="20"/>
              </w:rPr>
              <w:t>按规定内容公开预决算信息，</w:t>
            </w:r>
            <w:r>
              <w:rPr>
                <w:rFonts w:ascii="Times New Roman" w:hAnsi="Times New Roman"/>
                <w:kern w:val="0"/>
                <w:sz w:val="20"/>
                <w:szCs w:val="20"/>
              </w:rPr>
              <w:t>1</w:t>
            </w:r>
            <w:r>
              <w:rPr>
                <w:rFonts w:hint="eastAsia" w:ascii="Times New Roman" w:hAnsi="Times New Roman"/>
                <w:kern w:val="0"/>
                <w:sz w:val="20"/>
                <w:szCs w:val="20"/>
              </w:rPr>
              <w:t>分；</w:t>
            </w:r>
            <w:r>
              <w:rPr>
                <w:rFonts w:hint="eastAsia" w:ascii="Times New Roman" w:hAnsi="Times New Roman" w:eastAsia="宋体"/>
                <w:kern w:val="0"/>
                <w:sz w:val="20"/>
                <w:szCs w:val="20"/>
              </w:rPr>
              <w:t>②</w:t>
            </w:r>
            <w:r>
              <w:rPr>
                <w:rFonts w:hint="eastAsia" w:ascii="Times New Roman" w:hAnsi="Times New Roman"/>
                <w:kern w:val="0"/>
                <w:sz w:val="20"/>
                <w:szCs w:val="20"/>
              </w:rPr>
              <w:t>按规定时限公开预决算信息，</w:t>
            </w:r>
            <w:r>
              <w:rPr>
                <w:rFonts w:ascii="Times New Roman" w:hAnsi="Times New Roman"/>
                <w:kern w:val="0"/>
                <w:sz w:val="20"/>
                <w:szCs w:val="20"/>
              </w:rPr>
              <w:t>1</w:t>
            </w:r>
            <w:r>
              <w:rPr>
                <w:rFonts w:hint="eastAsia" w:ascii="Times New Roman" w:hAnsi="Times New Roman"/>
                <w:kern w:val="0"/>
                <w:sz w:val="20"/>
                <w:szCs w:val="20"/>
              </w:rPr>
              <w:t>分；</w:t>
            </w:r>
            <w:r>
              <w:rPr>
                <w:rFonts w:hint="eastAsia" w:ascii="Times New Roman" w:hAnsi="Times New Roman" w:eastAsia="宋体"/>
                <w:kern w:val="0"/>
                <w:sz w:val="20"/>
                <w:szCs w:val="20"/>
              </w:rPr>
              <w:t>③</w:t>
            </w:r>
            <w:r>
              <w:rPr>
                <w:rFonts w:hint="eastAsia" w:ascii="Times New Roman" w:hAnsi="Times New Roman"/>
                <w:kern w:val="0"/>
                <w:sz w:val="20"/>
                <w:szCs w:val="20"/>
              </w:rPr>
              <w:t>基础数据信息和会计信息资料真实，</w:t>
            </w:r>
            <w:r>
              <w:rPr>
                <w:rFonts w:ascii="Times New Roman" w:hAnsi="Times New Roman"/>
                <w:kern w:val="0"/>
                <w:sz w:val="20"/>
                <w:szCs w:val="20"/>
              </w:rPr>
              <w:t>1</w:t>
            </w:r>
            <w:r>
              <w:rPr>
                <w:rFonts w:hint="eastAsia" w:ascii="Times New Roman" w:hAnsi="Times New Roman"/>
                <w:kern w:val="0"/>
                <w:sz w:val="20"/>
                <w:szCs w:val="20"/>
              </w:rPr>
              <w:t>分；</w:t>
            </w:r>
            <w:r>
              <w:rPr>
                <w:rFonts w:hint="eastAsia" w:ascii="Times New Roman" w:hAnsi="Times New Roman" w:eastAsia="宋体"/>
                <w:kern w:val="0"/>
                <w:sz w:val="20"/>
                <w:szCs w:val="20"/>
              </w:rPr>
              <w:t>④</w:t>
            </w:r>
            <w:r>
              <w:rPr>
                <w:rFonts w:hint="eastAsia" w:ascii="Times New Roman" w:hAnsi="Times New Roman"/>
                <w:kern w:val="0"/>
                <w:sz w:val="20"/>
                <w:szCs w:val="20"/>
              </w:rPr>
              <w:t>基础数据信息和会计信息资料完整，</w:t>
            </w:r>
            <w:r>
              <w:rPr>
                <w:rFonts w:ascii="Times New Roman" w:hAnsi="Times New Roman"/>
                <w:kern w:val="0"/>
                <w:sz w:val="20"/>
                <w:szCs w:val="20"/>
              </w:rPr>
              <w:t>1</w:t>
            </w:r>
            <w:r>
              <w:rPr>
                <w:rFonts w:hint="eastAsia" w:ascii="Times New Roman" w:hAnsi="Times New Roman"/>
                <w:kern w:val="0"/>
                <w:sz w:val="20"/>
                <w:szCs w:val="20"/>
              </w:rPr>
              <w:t>分；</w:t>
            </w:r>
            <w:r>
              <w:rPr>
                <w:rFonts w:hint="eastAsia" w:ascii="Times New Roman" w:hAnsi="Times New Roman" w:eastAsia="宋体"/>
                <w:kern w:val="0"/>
                <w:sz w:val="20"/>
                <w:szCs w:val="20"/>
              </w:rPr>
              <w:t>⑤</w:t>
            </w:r>
            <w:r>
              <w:rPr>
                <w:rFonts w:hint="eastAsia" w:ascii="Times New Roman" w:hAnsi="Times New Roman"/>
                <w:kern w:val="0"/>
                <w:sz w:val="20"/>
                <w:szCs w:val="20"/>
              </w:rPr>
              <w:t>基础数据信息和汇集信息资料准确，</w:t>
            </w:r>
            <w:r>
              <w:rPr>
                <w:rFonts w:ascii="Times New Roman" w:hAnsi="Times New Roman"/>
                <w:kern w:val="0"/>
                <w:sz w:val="20"/>
                <w:szCs w:val="20"/>
              </w:rPr>
              <w:t>1</w:t>
            </w:r>
            <w:r>
              <w:rPr>
                <w:rFonts w:hint="eastAsia" w:ascii="Times New Roman" w:hAnsi="Times New Roman"/>
                <w:kern w:val="0"/>
                <w:sz w:val="20"/>
                <w:szCs w:val="20"/>
              </w:rPr>
              <w:t>分。</w:t>
            </w:r>
            <w:r>
              <w:rPr>
                <w:rFonts w:ascii="Times New Roman" w:hAnsi="Times New Roman"/>
                <w:kern w:val="0"/>
                <w:sz w:val="20"/>
                <w:szCs w:val="20"/>
              </w:rPr>
              <w:t xml:space="preserve">  </w:t>
            </w:r>
          </w:p>
        </w:tc>
        <w:tc>
          <w:tcPr>
            <w:tcW w:w="2549"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675" w:type="dxa"/>
            <w:tcBorders>
              <w:top w:val="nil"/>
              <w:left w:val="nil"/>
              <w:bottom w:val="single" w:color="auto" w:sz="4" w:space="0"/>
              <w:right w:val="single" w:color="auto" w:sz="4" w:space="0"/>
            </w:tcBorders>
            <w:vAlign w:val="center"/>
          </w:tcPr>
          <w:p>
            <w:pPr>
              <w:widowControl/>
              <w:spacing w:line="280" w:lineRule="exact"/>
              <w:jc w:val="center"/>
              <w:rPr>
                <w:rFonts w:hint="eastAsia" w:ascii="Times New Roman" w:hAnsi="Times New Roman" w:eastAsia="仿宋_GB2312"/>
                <w:kern w:val="0"/>
                <w:sz w:val="20"/>
                <w:szCs w:val="20"/>
                <w:lang w:val="en-US" w:eastAsia="zh-CN"/>
              </w:rPr>
            </w:pPr>
            <w:r>
              <w:rPr>
                <w:rFonts w:hint="eastAsia" w:ascii="Times New Roman" w:hAnsi="Times New Roman"/>
                <w:kern w:val="0"/>
                <w:sz w:val="20"/>
                <w:szCs w:val="20"/>
                <w:lang w:val="en-US" w:eastAsia="zh-CN"/>
              </w:rPr>
              <w:t>5</w:t>
            </w:r>
          </w:p>
        </w:tc>
        <w:tc>
          <w:tcPr>
            <w:tcW w:w="1395" w:type="dxa"/>
            <w:tcBorders>
              <w:top w:val="nil"/>
              <w:left w:val="nil"/>
              <w:bottom w:val="single" w:color="auto" w:sz="4" w:space="0"/>
              <w:right w:val="single" w:color="auto" w:sz="4" w:space="0"/>
            </w:tcBorders>
          </w:tcPr>
          <w:p>
            <w:pPr>
              <w:widowControl/>
              <w:spacing w:line="280" w:lineRule="exact"/>
              <w:jc w:val="left"/>
              <w:rPr>
                <w:rFonts w:hint="eastAsia" w:ascii="Times New Roman" w:hAnsi="Times New Roman" w:eastAsia="仿宋_GB2312"/>
                <w:kern w:val="0"/>
                <w:sz w:val="20"/>
                <w:szCs w:val="20"/>
                <w:lang w:eastAsia="zh-CN"/>
              </w:rPr>
            </w:pPr>
            <w:r>
              <w:rPr>
                <w:rFonts w:hint="eastAsia" w:ascii="Times New Roman" w:hAnsi="Times New Roman"/>
                <w:kern w:val="0"/>
                <w:sz w:val="20"/>
                <w:szCs w:val="20"/>
                <w:lang w:eastAsia="zh-CN"/>
              </w:rPr>
              <w:t>我单位严格感召规定内容，按时做好了预算公开的相关工作。信息完整，资料准确。</w:t>
            </w:r>
          </w:p>
        </w:tc>
      </w:tr>
      <w:tr>
        <w:tblPrEx>
          <w:tblCellMar>
            <w:top w:w="0" w:type="dxa"/>
            <w:left w:w="108" w:type="dxa"/>
            <w:bottom w:w="0" w:type="dxa"/>
            <w:right w:w="108" w:type="dxa"/>
          </w:tblCellMar>
        </w:tblPrEx>
        <w:trPr>
          <w:jc w:val="center"/>
        </w:trPr>
        <w:tc>
          <w:tcPr>
            <w:tcW w:w="648"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产出及效率</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26</w:t>
            </w:r>
          </w:p>
        </w:tc>
        <w:tc>
          <w:tcPr>
            <w:tcW w:w="673"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职责履行</w:t>
            </w:r>
          </w:p>
        </w:tc>
        <w:tc>
          <w:tcPr>
            <w:tcW w:w="41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8</w:t>
            </w:r>
          </w:p>
        </w:tc>
        <w:tc>
          <w:tcPr>
            <w:tcW w:w="1072" w:type="dxa"/>
            <w:tcBorders>
              <w:top w:val="nil"/>
              <w:left w:val="nil"/>
              <w:bottom w:val="nil"/>
              <w:right w:val="single" w:color="auto" w:sz="4" w:space="0"/>
            </w:tcBorders>
            <w:vAlign w:val="center"/>
          </w:tcPr>
          <w:p>
            <w:pPr>
              <w:widowControl/>
              <w:spacing w:line="280" w:lineRule="exact"/>
              <w:jc w:val="center"/>
              <w:rPr>
                <w:rFonts w:ascii="Times New Roman" w:hAnsi="Times New Roman"/>
                <w:spacing w:val="-20"/>
                <w:kern w:val="0"/>
                <w:sz w:val="20"/>
                <w:szCs w:val="20"/>
              </w:rPr>
            </w:pPr>
            <w:r>
              <w:rPr>
                <w:rFonts w:hint="eastAsia" w:ascii="Times New Roman" w:hAnsi="Times New Roman"/>
                <w:spacing w:val="-20"/>
                <w:kern w:val="0"/>
                <w:sz w:val="20"/>
                <w:szCs w:val="20"/>
              </w:rPr>
              <w:t>重点工作</w:t>
            </w:r>
          </w:p>
          <w:p>
            <w:pPr>
              <w:widowControl/>
              <w:spacing w:line="280" w:lineRule="exact"/>
              <w:jc w:val="center"/>
              <w:rPr>
                <w:rFonts w:ascii="Times New Roman" w:hAnsi="Times New Roman"/>
                <w:kern w:val="0"/>
                <w:sz w:val="20"/>
                <w:szCs w:val="20"/>
              </w:rPr>
            </w:pPr>
            <w:r>
              <w:rPr>
                <w:rFonts w:hint="eastAsia" w:ascii="Times New Roman" w:hAnsi="Times New Roman"/>
                <w:spacing w:val="-20"/>
                <w:kern w:val="0"/>
                <w:sz w:val="20"/>
                <w:szCs w:val="20"/>
              </w:rPr>
              <w:t>实际完成率</w:t>
            </w:r>
          </w:p>
        </w:tc>
        <w:tc>
          <w:tcPr>
            <w:tcW w:w="41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8</w:t>
            </w:r>
          </w:p>
        </w:tc>
        <w:tc>
          <w:tcPr>
            <w:tcW w:w="2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kern w:val="0"/>
                <w:sz w:val="20"/>
                <w:szCs w:val="20"/>
              </w:rPr>
            </w:pPr>
            <w:r>
              <w:rPr>
                <w:rFonts w:hint="eastAsia" w:ascii="Times New Roman" w:hAnsi="Times New Roman"/>
                <w:kern w:val="0"/>
                <w:sz w:val="20"/>
                <w:szCs w:val="20"/>
              </w:rPr>
              <w:t>根据绩效办对各部门为民办实事和部门重点工程与重点工作考核分数折算。</w:t>
            </w:r>
          </w:p>
          <w:p>
            <w:pPr>
              <w:widowControl/>
              <w:spacing w:line="240" w:lineRule="exact"/>
              <w:jc w:val="left"/>
              <w:rPr>
                <w:rFonts w:ascii="Times New Roman" w:hAnsi="Times New Roman"/>
                <w:kern w:val="0"/>
                <w:sz w:val="20"/>
                <w:szCs w:val="20"/>
              </w:rPr>
            </w:pPr>
            <w:r>
              <w:rPr>
                <w:rFonts w:hint="eastAsia" w:ascii="Times New Roman" w:hAnsi="Times New Roman"/>
                <w:kern w:val="0"/>
                <w:sz w:val="20"/>
                <w:szCs w:val="20"/>
              </w:rPr>
              <w:t>该项得分</w:t>
            </w:r>
            <w:r>
              <w:rPr>
                <w:rFonts w:ascii="Times New Roman" w:hAnsi="Times New Roman"/>
                <w:kern w:val="0"/>
                <w:sz w:val="20"/>
                <w:szCs w:val="20"/>
              </w:rPr>
              <w:t>=</w:t>
            </w:r>
            <w:r>
              <w:rPr>
                <w:rFonts w:hint="eastAsia" w:ascii="Times New Roman" w:hAnsi="Times New Roman"/>
                <w:kern w:val="0"/>
                <w:sz w:val="20"/>
                <w:szCs w:val="20"/>
              </w:rPr>
              <w:t>（绩效办对应部分考核得分</w:t>
            </w:r>
            <w:r>
              <w:rPr>
                <w:rFonts w:ascii="Times New Roman" w:hAnsi="Times New Roman"/>
                <w:kern w:val="0"/>
                <w:sz w:val="20"/>
                <w:szCs w:val="20"/>
              </w:rPr>
              <w:t>/350</w:t>
            </w:r>
            <w:r>
              <w:rPr>
                <w:rFonts w:hint="eastAsia" w:ascii="Times New Roman" w:hAnsi="Times New Roman"/>
                <w:kern w:val="0"/>
                <w:sz w:val="20"/>
                <w:szCs w:val="20"/>
              </w:rPr>
              <w:t>）</w:t>
            </w:r>
            <w:r>
              <w:rPr>
                <w:rFonts w:ascii="Times New Roman" w:hAnsi="Times New Roman"/>
                <w:kern w:val="0"/>
                <w:sz w:val="20"/>
                <w:szCs w:val="20"/>
              </w:rPr>
              <w:t>*8</w:t>
            </w:r>
          </w:p>
        </w:tc>
        <w:tc>
          <w:tcPr>
            <w:tcW w:w="2549"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　</w:t>
            </w:r>
          </w:p>
        </w:tc>
        <w:tc>
          <w:tcPr>
            <w:tcW w:w="675" w:type="dxa"/>
            <w:tcBorders>
              <w:top w:val="nil"/>
              <w:left w:val="nil"/>
              <w:bottom w:val="single" w:color="auto" w:sz="4" w:space="0"/>
              <w:right w:val="single" w:color="auto" w:sz="4" w:space="0"/>
            </w:tcBorders>
            <w:vAlign w:val="center"/>
          </w:tcPr>
          <w:p>
            <w:pPr>
              <w:widowControl/>
              <w:spacing w:line="280" w:lineRule="exact"/>
              <w:jc w:val="center"/>
              <w:rPr>
                <w:rFonts w:hint="default" w:ascii="Times New Roman" w:hAnsi="Times New Roman" w:eastAsia="仿宋_GB2312"/>
                <w:kern w:val="0"/>
                <w:sz w:val="20"/>
                <w:szCs w:val="20"/>
                <w:lang w:val="en-US" w:eastAsia="zh-CN"/>
              </w:rPr>
            </w:pPr>
            <w:r>
              <w:rPr>
                <w:rFonts w:hint="eastAsia" w:ascii="Times New Roman" w:hAnsi="Times New Roman"/>
                <w:kern w:val="0"/>
                <w:sz w:val="20"/>
                <w:szCs w:val="20"/>
                <w:lang w:val="en-US" w:eastAsia="zh-CN"/>
              </w:rPr>
              <w:t>8</w:t>
            </w:r>
          </w:p>
        </w:tc>
        <w:tc>
          <w:tcPr>
            <w:tcW w:w="1395" w:type="dxa"/>
            <w:tcBorders>
              <w:top w:val="nil"/>
              <w:left w:val="nil"/>
              <w:bottom w:val="single" w:color="auto" w:sz="4" w:space="0"/>
              <w:right w:val="single" w:color="auto" w:sz="4" w:space="0"/>
            </w:tcBorders>
          </w:tcPr>
          <w:p>
            <w:pPr>
              <w:widowControl/>
              <w:spacing w:line="280" w:lineRule="exact"/>
              <w:jc w:val="left"/>
              <w:rPr>
                <w:rFonts w:hint="default" w:ascii="Times New Roman" w:hAnsi="Times New Roman" w:eastAsia="仿宋_GB2312"/>
                <w:kern w:val="0"/>
                <w:sz w:val="20"/>
                <w:szCs w:val="20"/>
                <w:lang w:val="en-US" w:eastAsia="zh-CN"/>
              </w:rPr>
            </w:pPr>
            <w:r>
              <w:rPr>
                <w:rFonts w:hint="eastAsia" w:ascii="Times New Roman" w:hAnsi="Times New Roman"/>
                <w:kern w:val="0"/>
                <w:sz w:val="20"/>
                <w:szCs w:val="20"/>
                <w:lang w:val="en-US" w:eastAsia="zh-CN"/>
              </w:rPr>
              <w:t>2018年度绩效办对我单位打分100.8分</w:t>
            </w:r>
          </w:p>
        </w:tc>
      </w:tr>
      <w:tr>
        <w:tblPrEx>
          <w:tblCellMar>
            <w:top w:w="0" w:type="dxa"/>
            <w:left w:w="108" w:type="dxa"/>
            <w:bottom w:w="0" w:type="dxa"/>
            <w:right w:w="108" w:type="dxa"/>
          </w:tblCellMar>
        </w:tblPrEx>
        <w:trPr>
          <w:trHeight w:val="357"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673"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履职</w:t>
            </w:r>
            <w:r>
              <w:rPr>
                <w:rFonts w:ascii="Times New Roman" w:hAnsi="Times New Roman"/>
                <w:kern w:val="0"/>
                <w:sz w:val="20"/>
                <w:szCs w:val="20"/>
              </w:rPr>
              <w:t xml:space="preserve"> </w:t>
            </w:r>
            <w:r>
              <w:rPr>
                <w:rFonts w:hint="eastAsia" w:ascii="Times New Roman" w:hAnsi="Times New Roman"/>
                <w:kern w:val="0"/>
                <w:sz w:val="20"/>
                <w:szCs w:val="20"/>
              </w:rPr>
              <w:t>效益</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6</w:t>
            </w:r>
          </w:p>
        </w:tc>
        <w:tc>
          <w:tcPr>
            <w:tcW w:w="107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经济效益</w:t>
            </w:r>
          </w:p>
        </w:tc>
        <w:tc>
          <w:tcPr>
            <w:tcW w:w="416" w:type="dxa"/>
            <w:vMerge w:val="restart"/>
            <w:tcBorders>
              <w:top w:val="nil"/>
              <w:left w:val="single" w:color="auto" w:sz="4" w:space="0"/>
              <w:bottom w:val="nil"/>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6</w:t>
            </w:r>
          </w:p>
        </w:tc>
        <w:tc>
          <w:tcPr>
            <w:tcW w:w="4873" w:type="dxa"/>
            <w:gridSpan w:val="2"/>
            <w:vMerge w:val="restart"/>
            <w:tcBorders>
              <w:top w:val="single" w:color="auto" w:sz="4" w:space="0"/>
              <w:left w:val="single" w:color="auto" w:sz="4" w:space="0"/>
              <w:bottom w:val="nil"/>
              <w:right w:val="single" w:color="000000" w:sz="4" w:space="0"/>
            </w:tcBorders>
            <w:vAlign w:val="center"/>
          </w:tcPr>
          <w:p>
            <w:pPr>
              <w:widowControl/>
              <w:spacing w:line="240" w:lineRule="exact"/>
              <w:jc w:val="left"/>
              <w:rPr>
                <w:rFonts w:hint="eastAsia" w:ascii="Times New Roman" w:hAnsi="Times New Roman" w:eastAsia="仿宋_GB2312"/>
                <w:kern w:val="0"/>
                <w:sz w:val="20"/>
                <w:szCs w:val="20"/>
                <w:lang w:eastAsia="zh-CN"/>
              </w:rPr>
            </w:pPr>
            <w:r>
              <w:rPr>
                <w:rFonts w:hint="eastAsia" w:ascii="Times New Roman" w:hAnsi="Times New Roman"/>
                <w:kern w:val="0"/>
                <w:sz w:val="20"/>
                <w:szCs w:val="20"/>
                <w:lang w:eastAsia="zh-CN"/>
              </w:rPr>
              <w:t>2018年度铺排由我单位代建的项目为</w:t>
            </w:r>
            <w:r>
              <w:rPr>
                <w:rFonts w:hint="eastAsia" w:ascii="Times New Roman" w:hAnsi="Times New Roman"/>
                <w:kern w:val="0"/>
                <w:sz w:val="20"/>
                <w:szCs w:val="20"/>
                <w:lang w:val="en-US" w:eastAsia="zh-CN"/>
              </w:rPr>
              <w:t>31</w:t>
            </w:r>
            <w:r>
              <w:rPr>
                <w:rFonts w:hint="eastAsia" w:ascii="Times New Roman" w:hAnsi="Times New Roman"/>
                <w:kern w:val="0"/>
                <w:sz w:val="20"/>
                <w:szCs w:val="20"/>
                <w:lang w:eastAsia="zh-CN"/>
              </w:rPr>
              <w:t>个，其中计划启动新建</w:t>
            </w:r>
            <w:r>
              <w:rPr>
                <w:rFonts w:hint="eastAsia" w:ascii="Times New Roman" w:hAnsi="Times New Roman"/>
                <w:kern w:val="0"/>
                <w:sz w:val="20"/>
                <w:szCs w:val="20"/>
                <w:lang w:val="en-US" w:eastAsia="zh-CN"/>
              </w:rPr>
              <w:t>22</w:t>
            </w:r>
            <w:r>
              <w:rPr>
                <w:rFonts w:hint="eastAsia" w:ascii="Times New Roman" w:hAnsi="Times New Roman"/>
                <w:kern w:val="0"/>
                <w:sz w:val="20"/>
                <w:szCs w:val="20"/>
                <w:lang w:eastAsia="zh-CN"/>
              </w:rPr>
              <w:t>个，续建项目</w:t>
            </w:r>
            <w:r>
              <w:rPr>
                <w:rFonts w:hint="eastAsia" w:ascii="Times New Roman" w:hAnsi="Times New Roman"/>
                <w:kern w:val="0"/>
                <w:sz w:val="20"/>
                <w:szCs w:val="20"/>
                <w:lang w:val="en-US" w:eastAsia="zh-CN"/>
              </w:rPr>
              <w:t>9个；</w:t>
            </w:r>
            <w:r>
              <w:rPr>
                <w:rFonts w:hint="eastAsia" w:ascii="Times New Roman" w:hAnsi="Times New Roman"/>
                <w:kern w:val="0"/>
                <w:sz w:val="20"/>
                <w:szCs w:val="20"/>
                <w:lang w:eastAsia="zh-CN"/>
              </w:rPr>
              <w:t>实际启动新建</w:t>
            </w:r>
            <w:r>
              <w:rPr>
                <w:rFonts w:hint="eastAsia" w:ascii="Times New Roman" w:hAnsi="Times New Roman"/>
                <w:kern w:val="0"/>
                <w:sz w:val="20"/>
                <w:szCs w:val="20"/>
                <w:lang w:val="en-US" w:eastAsia="zh-CN"/>
              </w:rPr>
              <w:t>22</w:t>
            </w:r>
            <w:r>
              <w:rPr>
                <w:rFonts w:hint="eastAsia" w:ascii="Times New Roman" w:hAnsi="Times New Roman"/>
                <w:kern w:val="0"/>
                <w:sz w:val="20"/>
                <w:szCs w:val="20"/>
                <w:lang w:eastAsia="zh-CN"/>
              </w:rPr>
              <w:t>个。续建项目均按进度推进实施</w:t>
            </w:r>
          </w:p>
        </w:tc>
        <w:tc>
          <w:tcPr>
            <w:tcW w:w="675" w:type="dxa"/>
            <w:vMerge w:val="restart"/>
            <w:tcBorders>
              <w:top w:val="nil"/>
              <w:left w:val="nil"/>
              <w:right w:val="single" w:color="auto" w:sz="4" w:space="0"/>
            </w:tcBorders>
            <w:vAlign w:val="center"/>
          </w:tcPr>
          <w:p>
            <w:pPr>
              <w:widowControl/>
              <w:spacing w:line="280" w:lineRule="exact"/>
              <w:jc w:val="center"/>
              <w:rPr>
                <w:rFonts w:hint="eastAsia" w:ascii="Times New Roman" w:hAnsi="Times New Roman" w:eastAsia="仿宋_GB2312"/>
                <w:kern w:val="0"/>
                <w:sz w:val="20"/>
                <w:szCs w:val="20"/>
                <w:lang w:val="en-US" w:eastAsia="zh-CN"/>
              </w:rPr>
            </w:pPr>
            <w:r>
              <w:rPr>
                <w:rFonts w:hint="eastAsia" w:ascii="Times New Roman" w:hAnsi="Times New Roman"/>
                <w:kern w:val="0"/>
                <w:sz w:val="20"/>
                <w:szCs w:val="20"/>
                <w:lang w:val="en-US" w:eastAsia="zh-CN"/>
              </w:rPr>
              <w:t>6</w:t>
            </w:r>
          </w:p>
        </w:tc>
        <w:tc>
          <w:tcPr>
            <w:tcW w:w="1395" w:type="dxa"/>
            <w:vMerge w:val="restart"/>
            <w:tcBorders>
              <w:top w:val="nil"/>
              <w:left w:val="nil"/>
              <w:right w:val="single" w:color="auto" w:sz="4" w:space="0"/>
            </w:tcBorders>
          </w:tcPr>
          <w:p>
            <w:pPr>
              <w:widowControl/>
              <w:spacing w:line="280" w:lineRule="exact"/>
              <w:jc w:val="left"/>
              <w:rPr>
                <w:rFonts w:hint="eastAsia" w:ascii="Times New Roman" w:hAnsi="Times New Roman" w:eastAsia="仿宋_GB2312"/>
                <w:kern w:val="0"/>
                <w:sz w:val="20"/>
                <w:szCs w:val="20"/>
                <w:lang w:eastAsia="zh-CN"/>
              </w:rPr>
            </w:pPr>
            <w:r>
              <w:rPr>
                <w:rFonts w:hint="eastAsia" w:ascii="Times New Roman" w:hAnsi="Times New Roman"/>
                <w:kern w:val="0"/>
                <w:sz w:val="20"/>
                <w:szCs w:val="20"/>
                <w:lang w:eastAsia="zh-CN"/>
              </w:rPr>
              <w:t>完成效益较好</w:t>
            </w:r>
          </w:p>
        </w:tc>
      </w:tr>
      <w:tr>
        <w:tblPrEx>
          <w:tblCellMar>
            <w:top w:w="0" w:type="dxa"/>
            <w:left w:w="108" w:type="dxa"/>
            <w:bottom w:w="0" w:type="dxa"/>
            <w:right w:w="108" w:type="dxa"/>
          </w:tblCellMar>
        </w:tblPrEx>
        <w:trPr>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社会效益</w:t>
            </w:r>
          </w:p>
        </w:tc>
        <w:tc>
          <w:tcPr>
            <w:tcW w:w="416" w:type="dxa"/>
            <w:vMerge w:val="continue"/>
            <w:tcBorders>
              <w:top w:val="nil"/>
              <w:left w:val="single" w:color="auto" w:sz="4" w:space="0"/>
              <w:bottom w:val="nil"/>
              <w:right w:val="single" w:color="auto" w:sz="4" w:space="0"/>
            </w:tcBorders>
            <w:vAlign w:val="center"/>
          </w:tcPr>
          <w:p>
            <w:pPr>
              <w:widowControl/>
              <w:spacing w:line="280" w:lineRule="exact"/>
              <w:jc w:val="left"/>
              <w:rPr>
                <w:rFonts w:ascii="Times New Roman" w:hAnsi="Times New Roman"/>
                <w:kern w:val="0"/>
                <w:sz w:val="20"/>
                <w:szCs w:val="20"/>
              </w:rPr>
            </w:pPr>
          </w:p>
        </w:tc>
        <w:tc>
          <w:tcPr>
            <w:tcW w:w="4873" w:type="dxa"/>
            <w:gridSpan w:val="2"/>
            <w:vMerge w:val="continue"/>
            <w:tcBorders>
              <w:top w:val="single" w:color="auto" w:sz="4" w:space="0"/>
              <w:left w:val="single" w:color="auto" w:sz="4" w:space="0"/>
              <w:bottom w:val="nil"/>
              <w:right w:val="single" w:color="000000" w:sz="4" w:space="0"/>
            </w:tcBorders>
            <w:vAlign w:val="center"/>
          </w:tcPr>
          <w:p>
            <w:pPr>
              <w:widowControl/>
              <w:spacing w:line="240" w:lineRule="exact"/>
              <w:jc w:val="left"/>
              <w:rPr>
                <w:rFonts w:ascii="Times New Roman" w:hAnsi="Times New Roman"/>
                <w:kern w:val="0"/>
                <w:sz w:val="20"/>
                <w:szCs w:val="20"/>
              </w:rPr>
            </w:pPr>
          </w:p>
        </w:tc>
        <w:tc>
          <w:tcPr>
            <w:tcW w:w="675" w:type="dxa"/>
            <w:vMerge w:val="continue"/>
            <w:tcBorders>
              <w:left w:val="nil"/>
              <w:bottom w:val="nil"/>
              <w:right w:val="single" w:color="auto" w:sz="4" w:space="0"/>
            </w:tcBorders>
            <w:vAlign w:val="center"/>
          </w:tcPr>
          <w:p>
            <w:pPr>
              <w:widowControl/>
              <w:spacing w:line="280" w:lineRule="exact"/>
              <w:jc w:val="center"/>
              <w:rPr>
                <w:rFonts w:ascii="Times New Roman" w:hAnsi="Times New Roman"/>
                <w:kern w:val="0"/>
                <w:sz w:val="20"/>
                <w:szCs w:val="20"/>
              </w:rPr>
            </w:pPr>
          </w:p>
        </w:tc>
        <w:tc>
          <w:tcPr>
            <w:tcW w:w="1395" w:type="dxa"/>
            <w:vMerge w:val="continue"/>
            <w:tcBorders>
              <w:left w:val="nil"/>
              <w:bottom w:val="nil"/>
              <w:right w:val="single" w:color="auto" w:sz="4" w:space="0"/>
            </w:tcBorders>
          </w:tcPr>
          <w:p>
            <w:pPr>
              <w:widowControl/>
              <w:spacing w:line="280" w:lineRule="exact"/>
              <w:jc w:val="left"/>
              <w:rPr>
                <w:rFonts w:ascii="Times New Roman" w:hAnsi="Times New Roman"/>
                <w:kern w:val="0"/>
                <w:sz w:val="20"/>
                <w:szCs w:val="20"/>
              </w:rPr>
            </w:pPr>
          </w:p>
        </w:tc>
      </w:tr>
      <w:tr>
        <w:tblPrEx>
          <w:tblCellMar>
            <w:top w:w="0" w:type="dxa"/>
            <w:left w:w="108" w:type="dxa"/>
            <w:bottom w:w="0" w:type="dxa"/>
            <w:right w:w="108" w:type="dxa"/>
          </w:tblCellMar>
        </w:tblPrEx>
        <w:trPr>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12</w:t>
            </w:r>
          </w:p>
        </w:tc>
        <w:tc>
          <w:tcPr>
            <w:tcW w:w="1072"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行政效能</w:t>
            </w:r>
          </w:p>
        </w:tc>
        <w:tc>
          <w:tcPr>
            <w:tcW w:w="4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6</w:t>
            </w:r>
          </w:p>
        </w:tc>
        <w:tc>
          <w:tcPr>
            <w:tcW w:w="2324"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kern w:val="0"/>
                <w:sz w:val="20"/>
                <w:szCs w:val="20"/>
              </w:rPr>
            </w:pPr>
            <w:r>
              <w:rPr>
                <w:rFonts w:hint="eastAsia" w:ascii="Times New Roman" w:hAnsi="Times New Roman"/>
                <w:kern w:val="0"/>
                <w:sz w:val="20"/>
                <w:szCs w:val="20"/>
              </w:rPr>
              <w:t>促进部门改进文风会风，加强经费及资产管理，推动网上办事，提高行政效率，降低行政成本效果较好的计</w:t>
            </w:r>
            <w:r>
              <w:rPr>
                <w:rFonts w:ascii="Times New Roman" w:hAnsi="Times New Roman"/>
                <w:kern w:val="0"/>
                <w:sz w:val="20"/>
                <w:szCs w:val="20"/>
              </w:rPr>
              <w:t>6</w:t>
            </w:r>
            <w:r>
              <w:rPr>
                <w:rFonts w:hint="eastAsia" w:ascii="Times New Roman" w:hAnsi="Times New Roman"/>
                <w:kern w:val="0"/>
                <w:sz w:val="20"/>
                <w:szCs w:val="20"/>
              </w:rPr>
              <w:t>分；一般</w:t>
            </w:r>
            <w:r>
              <w:rPr>
                <w:rFonts w:ascii="Times New Roman" w:hAnsi="Times New Roman"/>
                <w:kern w:val="0"/>
                <w:sz w:val="20"/>
                <w:szCs w:val="20"/>
              </w:rPr>
              <w:t>3</w:t>
            </w:r>
            <w:r>
              <w:rPr>
                <w:rFonts w:hint="eastAsia" w:ascii="Times New Roman" w:hAnsi="Times New Roman"/>
                <w:kern w:val="0"/>
                <w:sz w:val="20"/>
                <w:szCs w:val="20"/>
              </w:rPr>
              <w:t>分；无效果或者效果不明显</w:t>
            </w:r>
            <w:r>
              <w:rPr>
                <w:rFonts w:ascii="Times New Roman" w:hAnsi="Times New Roman"/>
                <w:kern w:val="0"/>
                <w:sz w:val="20"/>
                <w:szCs w:val="20"/>
              </w:rPr>
              <w:t>0</w:t>
            </w:r>
            <w:r>
              <w:rPr>
                <w:rFonts w:hint="eastAsia" w:ascii="Times New Roman" w:hAnsi="Times New Roman"/>
                <w:kern w:val="0"/>
                <w:sz w:val="20"/>
                <w:szCs w:val="20"/>
              </w:rPr>
              <w:t>分。</w:t>
            </w:r>
          </w:p>
        </w:tc>
        <w:tc>
          <w:tcPr>
            <w:tcW w:w="2549"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根据部门自评材料评定。</w:t>
            </w:r>
          </w:p>
        </w:tc>
        <w:tc>
          <w:tcPr>
            <w:tcW w:w="67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Times New Roman" w:hAnsi="Times New Roman" w:eastAsia="仿宋_GB2312"/>
                <w:kern w:val="0"/>
                <w:sz w:val="20"/>
                <w:szCs w:val="20"/>
                <w:lang w:val="en-US" w:eastAsia="zh-CN"/>
              </w:rPr>
            </w:pPr>
            <w:r>
              <w:rPr>
                <w:rFonts w:hint="eastAsia" w:ascii="Times New Roman" w:hAnsi="Times New Roman"/>
                <w:kern w:val="0"/>
                <w:sz w:val="20"/>
                <w:szCs w:val="20"/>
                <w:lang w:val="en-US" w:eastAsia="zh-CN"/>
              </w:rPr>
              <w:t>6</w:t>
            </w:r>
          </w:p>
        </w:tc>
        <w:tc>
          <w:tcPr>
            <w:tcW w:w="1395" w:type="dxa"/>
            <w:tcBorders>
              <w:top w:val="single" w:color="auto" w:sz="4" w:space="0"/>
              <w:left w:val="nil"/>
              <w:bottom w:val="single" w:color="auto" w:sz="4" w:space="0"/>
              <w:right w:val="single" w:color="auto" w:sz="4" w:space="0"/>
            </w:tcBorders>
          </w:tcPr>
          <w:p>
            <w:pPr>
              <w:widowControl/>
              <w:spacing w:line="280" w:lineRule="exact"/>
              <w:jc w:val="left"/>
              <w:rPr>
                <w:rFonts w:hint="default" w:ascii="Times New Roman" w:hAnsi="Times New Roman" w:eastAsia="仿宋_GB2312"/>
                <w:kern w:val="0"/>
                <w:sz w:val="20"/>
                <w:szCs w:val="20"/>
                <w:lang w:val="en-US" w:eastAsia="zh-CN"/>
              </w:rPr>
            </w:pPr>
            <w:r>
              <w:rPr>
                <w:rFonts w:hint="eastAsia" w:ascii="Times New Roman" w:hAnsi="Times New Roman"/>
                <w:kern w:val="0"/>
                <w:sz w:val="20"/>
                <w:szCs w:val="20"/>
                <w:lang w:val="en-US" w:eastAsia="zh-CN"/>
              </w:rPr>
              <w:t>2018年度我单位严肃文风会风，减少会议费、接待费开支，有效提高了行政效率，降低了运行成本</w:t>
            </w:r>
          </w:p>
        </w:tc>
      </w:tr>
      <w:tr>
        <w:tblPrEx>
          <w:tblCellMar>
            <w:top w:w="0" w:type="dxa"/>
            <w:left w:w="108" w:type="dxa"/>
            <w:bottom w:w="0" w:type="dxa"/>
            <w:right w:w="108" w:type="dxa"/>
          </w:tblCellMar>
        </w:tblPrEx>
        <w:trPr>
          <w:trHeight w:val="1250" w:hRule="atLeast"/>
          <w:jc w:val="center"/>
        </w:trPr>
        <w:tc>
          <w:tcPr>
            <w:tcW w:w="64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67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社会公众或服务对象满意度</w:t>
            </w:r>
          </w:p>
        </w:tc>
        <w:tc>
          <w:tcPr>
            <w:tcW w:w="41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6</w:t>
            </w:r>
          </w:p>
        </w:tc>
        <w:tc>
          <w:tcPr>
            <w:tcW w:w="2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kern w:val="0"/>
                <w:sz w:val="20"/>
                <w:szCs w:val="20"/>
              </w:rPr>
            </w:pPr>
            <w:r>
              <w:rPr>
                <w:rFonts w:ascii="Times New Roman" w:hAnsi="Times New Roman"/>
                <w:kern w:val="0"/>
                <w:sz w:val="20"/>
                <w:szCs w:val="20"/>
              </w:rPr>
              <w:t>90%</w:t>
            </w:r>
            <w:r>
              <w:rPr>
                <w:rFonts w:hint="eastAsia" w:ascii="Times New Roman" w:hAnsi="Times New Roman"/>
                <w:kern w:val="0"/>
                <w:sz w:val="20"/>
                <w:szCs w:val="20"/>
              </w:rPr>
              <w:t>（含）以上计</w:t>
            </w:r>
            <w:r>
              <w:rPr>
                <w:rFonts w:ascii="Times New Roman" w:hAnsi="Times New Roman"/>
                <w:kern w:val="0"/>
                <w:sz w:val="20"/>
                <w:szCs w:val="20"/>
              </w:rPr>
              <w:t>6</w:t>
            </w:r>
            <w:r>
              <w:rPr>
                <w:rFonts w:hint="eastAsia" w:ascii="Times New Roman" w:hAnsi="Times New Roman"/>
                <w:kern w:val="0"/>
                <w:sz w:val="20"/>
                <w:szCs w:val="20"/>
              </w:rPr>
              <w:t>分；</w:t>
            </w:r>
          </w:p>
          <w:p>
            <w:pPr>
              <w:widowControl/>
              <w:spacing w:line="240" w:lineRule="exact"/>
              <w:jc w:val="left"/>
              <w:rPr>
                <w:rFonts w:ascii="Times New Roman" w:hAnsi="Times New Roman"/>
                <w:kern w:val="0"/>
                <w:sz w:val="20"/>
                <w:szCs w:val="20"/>
              </w:rPr>
            </w:pPr>
            <w:r>
              <w:rPr>
                <w:rFonts w:ascii="Times New Roman" w:hAnsi="Times New Roman"/>
                <w:kern w:val="0"/>
                <w:sz w:val="20"/>
                <w:szCs w:val="20"/>
              </w:rPr>
              <w:t>80%</w:t>
            </w:r>
            <w:r>
              <w:rPr>
                <w:rFonts w:hint="eastAsia" w:ascii="Times New Roman" w:hAnsi="Times New Roman"/>
                <w:kern w:val="0"/>
                <w:sz w:val="20"/>
                <w:szCs w:val="20"/>
              </w:rPr>
              <w:t>（含）</w:t>
            </w:r>
            <w:r>
              <w:rPr>
                <w:rFonts w:ascii="Times New Roman" w:hAnsi="Times New Roman"/>
                <w:kern w:val="0"/>
                <w:sz w:val="20"/>
                <w:szCs w:val="20"/>
              </w:rPr>
              <w:t>-90%</w:t>
            </w:r>
            <w:r>
              <w:rPr>
                <w:rFonts w:hint="eastAsia" w:ascii="Times New Roman" w:hAnsi="Times New Roman"/>
                <w:kern w:val="0"/>
                <w:sz w:val="20"/>
                <w:szCs w:val="20"/>
              </w:rPr>
              <w:t>，计</w:t>
            </w:r>
            <w:r>
              <w:rPr>
                <w:rFonts w:ascii="Times New Roman" w:hAnsi="Times New Roman"/>
                <w:kern w:val="0"/>
                <w:sz w:val="20"/>
                <w:szCs w:val="20"/>
              </w:rPr>
              <w:t>4</w:t>
            </w:r>
            <w:r>
              <w:rPr>
                <w:rFonts w:hint="eastAsia" w:ascii="Times New Roman" w:hAnsi="Times New Roman"/>
                <w:kern w:val="0"/>
                <w:sz w:val="20"/>
                <w:szCs w:val="20"/>
              </w:rPr>
              <w:t>分；</w:t>
            </w:r>
          </w:p>
          <w:p>
            <w:pPr>
              <w:widowControl/>
              <w:spacing w:line="240" w:lineRule="exact"/>
              <w:jc w:val="left"/>
              <w:rPr>
                <w:rFonts w:ascii="Times New Roman" w:hAnsi="Times New Roman"/>
                <w:kern w:val="0"/>
                <w:sz w:val="20"/>
                <w:szCs w:val="20"/>
              </w:rPr>
            </w:pPr>
            <w:r>
              <w:rPr>
                <w:rFonts w:ascii="Times New Roman" w:hAnsi="Times New Roman"/>
                <w:kern w:val="0"/>
                <w:sz w:val="20"/>
                <w:szCs w:val="20"/>
              </w:rPr>
              <w:t>70%</w:t>
            </w:r>
            <w:r>
              <w:rPr>
                <w:rFonts w:hint="eastAsia" w:ascii="Times New Roman" w:hAnsi="Times New Roman"/>
                <w:kern w:val="0"/>
                <w:sz w:val="20"/>
                <w:szCs w:val="20"/>
              </w:rPr>
              <w:t>（含）</w:t>
            </w:r>
            <w:r>
              <w:rPr>
                <w:rFonts w:ascii="Times New Roman" w:hAnsi="Times New Roman"/>
                <w:kern w:val="0"/>
                <w:sz w:val="20"/>
                <w:szCs w:val="20"/>
              </w:rPr>
              <w:t>-80%</w:t>
            </w:r>
            <w:r>
              <w:rPr>
                <w:rFonts w:hint="eastAsia" w:ascii="Times New Roman" w:hAnsi="Times New Roman"/>
                <w:kern w:val="0"/>
                <w:sz w:val="20"/>
                <w:szCs w:val="20"/>
              </w:rPr>
              <w:t>，计</w:t>
            </w:r>
            <w:r>
              <w:rPr>
                <w:rFonts w:ascii="Times New Roman" w:hAnsi="Times New Roman"/>
                <w:kern w:val="0"/>
                <w:sz w:val="20"/>
                <w:szCs w:val="20"/>
              </w:rPr>
              <w:t>2</w:t>
            </w:r>
            <w:r>
              <w:rPr>
                <w:rFonts w:hint="eastAsia" w:ascii="Times New Roman" w:hAnsi="Times New Roman"/>
                <w:kern w:val="0"/>
                <w:sz w:val="20"/>
                <w:szCs w:val="20"/>
              </w:rPr>
              <w:t>分；</w:t>
            </w:r>
          </w:p>
          <w:p>
            <w:pPr>
              <w:widowControl/>
              <w:spacing w:line="240" w:lineRule="exact"/>
              <w:jc w:val="left"/>
              <w:rPr>
                <w:rFonts w:ascii="Times New Roman" w:hAnsi="Times New Roman"/>
                <w:kern w:val="0"/>
                <w:sz w:val="20"/>
                <w:szCs w:val="20"/>
              </w:rPr>
            </w:pPr>
            <w:r>
              <w:rPr>
                <w:rFonts w:hint="eastAsia" w:ascii="Times New Roman" w:hAnsi="Times New Roman"/>
                <w:kern w:val="0"/>
                <w:sz w:val="20"/>
                <w:szCs w:val="20"/>
              </w:rPr>
              <w:t>低于</w:t>
            </w:r>
            <w:r>
              <w:rPr>
                <w:rFonts w:ascii="Times New Roman" w:hAnsi="Times New Roman"/>
                <w:kern w:val="0"/>
                <w:sz w:val="20"/>
                <w:szCs w:val="20"/>
              </w:rPr>
              <w:t>70%</w:t>
            </w:r>
            <w:r>
              <w:rPr>
                <w:rFonts w:hint="eastAsia" w:ascii="Times New Roman" w:hAnsi="Times New Roman"/>
                <w:kern w:val="0"/>
                <w:sz w:val="20"/>
                <w:szCs w:val="20"/>
              </w:rPr>
              <w:t>计</w:t>
            </w:r>
            <w:r>
              <w:rPr>
                <w:rFonts w:ascii="Times New Roman" w:hAnsi="Times New Roman"/>
                <w:kern w:val="0"/>
                <w:sz w:val="20"/>
                <w:szCs w:val="20"/>
              </w:rPr>
              <w:t>0</w:t>
            </w:r>
            <w:r>
              <w:rPr>
                <w:rFonts w:hint="eastAsia" w:ascii="Times New Roman" w:hAnsi="Times New Roman"/>
                <w:kern w:val="0"/>
                <w:sz w:val="20"/>
                <w:szCs w:val="20"/>
              </w:rPr>
              <w:t>分。</w:t>
            </w:r>
          </w:p>
        </w:tc>
        <w:tc>
          <w:tcPr>
            <w:tcW w:w="2549"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社会公众或服务对象是指部门（单位）履行职责而影响到的部门、群体或个人，一般采取社会调查的方式。</w:t>
            </w:r>
          </w:p>
        </w:tc>
        <w:tc>
          <w:tcPr>
            <w:tcW w:w="675" w:type="dxa"/>
            <w:tcBorders>
              <w:top w:val="nil"/>
              <w:left w:val="nil"/>
              <w:bottom w:val="single" w:color="auto" w:sz="4" w:space="0"/>
              <w:right w:val="single" w:color="auto" w:sz="4" w:space="0"/>
            </w:tcBorders>
            <w:vAlign w:val="center"/>
          </w:tcPr>
          <w:p>
            <w:pPr>
              <w:widowControl/>
              <w:spacing w:line="280" w:lineRule="exact"/>
              <w:jc w:val="center"/>
              <w:rPr>
                <w:rFonts w:hint="eastAsia" w:ascii="Times New Roman" w:hAnsi="Times New Roman" w:eastAsia="仿宋_GB2312"/>
                <w:kern w:val="0"/>
                <w:sz w:val="20"/>
                <w:szCs w:val="20"/>
                <w:lang w:val="en-US" w:eastAsia="zh-CN"/>
              </w:rPr>
            </w:pPr>
            <w:r>
              <w:rPr>
                <w:rFonts w:hint="eastAsia" w:ascii="Times New Roman" w:hAnsi="Times New Roman"/>
                <w:kern w:val="0"/>
                <w:sz w:val="20"/>
                <w:szCs w:val="20"/>
                <w:lang w:val="en-US" w:eastAsia="zh-CN"/>
              </w:rPr>
              <w:t>6</w:t>
            </w:r>
          </w:p>
        </w:tc>
        <w:tc>
          <w:tcPr>
            <w:tcW w:w="1395" w:type="dxa"/>
            <w:tcBorders>
              <w:top w:val="nil"/>
              <w:left w:val="nil"/>
              <w:bottom w:val="single" w:color="auto" w:sz="4" w:space="0"/>
              <w:right w:val="single" w:color="auto" w:sz="4" w:space="0"/>
            </w:tcBorders>
          </w:tcPr>
          <w:p>
            <w:pPr>
              <w:widowControl/>
              <w:spacing w:line="280" w:lineRule="exact"/>
              <w:jc w:val="left"/>
              <w:rPr>
                <w:rFonts w:hint="default" w:ascii="Times New Roman" w:hAnsi="Times New Roman" w:eastAsia="仿宋_GB2312"/>
                <w:kern w:val="0"/>
                <w:sz w:val="20"/>
                <w:szCs w:val="20"/>
                <w:lang w:val="en-US" w:eastAsia="zh-CN"/>
              </w:rPr>
            </w:pPr>
            <w:r>
              <w:rPr>
                <w:rFonts w:hint="eastAsia" w:ascii="Times New Roman" w:hAnsi="Times New Roman"/>
                <w:kern w:val="0"/>
                <w:sz w:val="20"/>
                <w:szCs w:val="20"/>
                <w:lang w:eastAsia="zh-CN"/>
              </w:rPr>
              <w:t>社会公众、服务对象评分满意度</w:t>
            </w:r>
            <w:r>
              <w:rPr>
                <w:rFonts w:hint="eastAsia" w:ascii="Times New Roman" w:hAnsi="Times New Roman"/>
                <w:kern w:val="0"/>
                <w:sz w:val="20"/>
                <w:szCs w:val="20"/>
                <w:lang w:val="en-US" w:eastAsia="zh-CN"/>
              </w:rPr>
              <w:t>90%以上。</w:t>
            </w:r>
          </w:p>
        </w:tc>
      </w:tr>
      <w:tr>
        <w:tblPrEx>
          <w:tblCellMar>
            <w:top w:w="0" w:type="dxa"/>
            <w:left w:w="108" w:type="dxa"/>
            <w:bottom w:w="0" w:type="dxa"/>
            <w:right w:w="108" w:type="dxa"/>
          </w:tblCellMar>
        </w:tblPrEx>
        <w:trPr>
          <w:trHeight w:val="125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2993"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Times New Roman" w:hAnsi="Times New Roman" w:eastAsia="仿宋_GB2312"/>
                <w:b/>
                <w:bCs/>
                <w:kern w:val="0"/>
                <w:sz w:val="20"/>
                <w:szCs w:val="20"/>
                <w:lang w:eastAsia="zh-CN"/>
              </w:rPr>
            </w:pPr>
            <w:r>
              <w:rPr>
                <w:rFonts w:hint="eastAsia" w:ascii="Times New Roman" w:hAnsi="Times New Roman"/>
                <w:b/>
                <w:bCs/>
                <w:kern w:val="0"/>
                <w:sz w:val="20"/>
                <w:szCs w:val="20"/>
                <w:lang w:eastAsia="zh-CN"/>
              </w:rPr>
              <w:t>合计</w:t>
            </w:r>
          </w:p>
        </w:tc>
        <w:tc>
          <w:tcPr>
            <w:tcW w:w="2324"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Times New Roman" w:hAnsi="Times New Roman"/>
                <w:b/>
                <w:bCs/>
                <w:kern w:val="0"/>
                <w:sz w:val="20"/>
                <w:szCs w:val="20"/>
              </w:rPr>
            </w:pPr>
          </w:p>
        </w:tc>
        <w:tc>
          <w:tcPr>
            <w:tcW w:w="2549" w:type="dxa"/>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ascii="Times New Roman" w:hAnsi="Times New Roman"/>
                <w:b/>
                <w:bCs/>
                <w:kern w:val="0"/>
                <w:sz w:val="20"/>
                <w:szCs w:val="20"/>
              </w:rPr>
            </w:pPr>
          </w:p>
        </w:tc>
        <w:tc>
          <w:tcPr>
            <w:tcW w:w="67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ascii="Times New Roman" w:hAnsi="Times New Roman"/>
                <w:b/>
                <w:bCs/>
                <w:kern w:val="0"/>
                <w:sz w:val="20"/>
                <w:szCs w:val="20"/>
                <w:lang w:val="en-US" w:eastAsia="zh-CN"/>
              </w:rPr>
            </w:pPr>
            <w:r>
              <w:rPr>
                <w:rFonts w:hint="eastAsia" w:ascii="Times New Roman" w:hAnsi="Times New Roman"/>
                <w:b/>
                <w:bCs/>
                <w:kern w:val="0"/>
                <w:sz w:val="20"/>
                <w:szCs w:val="20"/>
                <w:lang w:val="en-US" w:eastAsia="zh-CN"/>
              </w:rPr>
              <w:t>87</w:t>
            </w:r>
          </w:p>
        </w:tc>
        <w:tc>
          <w:tcPr>
            <w:tcW w:w="1395" w:type="dxa"/>
            <w:tcBorders>
              <w:top w:val="single" w:color="auto" w:sz="4" w:space="0"/>
              <w:left w:val="nil"/>
              <w:bottom w:val="single" w:color="auto" w:sz="4" w:space="0"/>
              <w:right w:val="single" w:color="auto" w:sz="4" w:space="0"/>
            </w:tcBorders>
          </w:tcPr>
          <w:p>
            <w:pPr>
              <w:widowControl/>
              <w:spacing w:line="280" w:lineRule="exact"/>
              <w:jc w:val="left"/>
              <w:rPr>
                <w:rFonts w:ascii="Times New Roman" w:hAnsi="Times New Roman"/>
                <w:kern w:val="0"/>
                <w:sz w:val="20"/>
                <w:szCs w:val="20"/>
              </w:rPr>
            </w:pPr>
          </w:p>
        </w:tc>
      </w:tr>
    </w:tbl>
    <w:p>
      <w:pPr>
        <w:spacing w:line="600" w:lineRule="exact"/>
        <w:rPr>
          <w:rFonts w:ascii="Times New Roman" w:hAnsi="Times New Roman"/>
          <w:sz w:val="20"/>
          <w:szCs w:val="20"/>
        </w:rPr>
      </w:pPr>
    </w:p>
    <w:sectPr>
      <w:pgSz w:w="11906" w:h="16838"/>
      <w:pgMar w:top="1701" w:right="1587" w:bottom="1417" w:left="1701" w:header="851" w:footer="992"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3343425"/>
      <w:docPartObj>
        <w:docPartGallery w:val="autotext"/>
      </w:docPartObj>
    </w:sdtPr>
    <w:sdtContent>
      <w:p>
        <w:pPr>
          <w:pStyle w:val="4"/>
          <w:jc w:val="right"/>
        </w:pPr>
        <w:r>
          <w:fldChar w:fldCharType="begin"/>
        </w:r>
        <w:r>
          <w:instrText xml:space="preserve">PAGE   \* MERGEFORMAT</w:instrText>
        </w:r>
        <w:r>
          <w:fldChar w:fldCharType="separate"/>
        </w:r>
        <w:r>
          <w:rPr>
            <w:lang w:val="zh-CN"/>
          </w:rPr>
          <w:t>-</w:t>
        </w:r>
        <w:r>
          <w:t xml:space="preserve"> 17 -</w:t>
        </w:r>
        <w:r>
          <w:fldChar w:fldCharType="end"/>
        </w:r>
      </w:p>
    </w:sdtContent>
  </w:sdt>
  <w:p>
    <w:pPr>
      <w:pStyle w:val="4"/>
      <w:ind w:right="9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0954067"/>
      <w:docPartObj>
        <w:docPartGallery w:val="autotext"/>
      </w:docPartObj>
    </w:sdtPr>
    <w:sdtContent>
      <w:p>
        <w:pPr>
          <w:pStyle w:val="4"/>
        </w:pPr>
        <w:r>
          <w:fldChar w:fldCharType="begin"/>
        </w:r>
        <w:r>
          <w:instrText xml:space="preserve">PAGE   \* MERGEFORMAT</w:instrText>
        </w:r>
        <w:r>
          <w:fldChar w:fldCharType="separate"/>
        </w:r>
        <w:r>
          <w:rPr>
            <w:lang w:val="zh-CN"/>
          </w:rPr>
          <w:t>-</w:t>
        </w:r>
        <w:r>
          <w:t xml:space="preserve"> 14 -</w:t>
        </w:r>
        <w:r>
          <w:fldChar w:fldCharType="end"/>
        </w:r>
      </w:p>
    </w:sdtContent>
  </w:sdt>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r>
      <w:rPr>
        <w:rFonts w:hint="eastAsia"/>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iYzk5ZDYxNzRmNjRiMWZhZTQ0MTYzZTYzODE4NTEifQ=="/>
  </w:docVars>
  <w:rsids>
    <w:rsidRoot w:val="00303747"/>
    <w:rsid w:val="00005D88"/>
    <w:rsid w:val="00017EBD"/>
    <w:rsid w:val="00050733"/>
    <w:rsid w:val="00057A74"/>
    <w:rsid w:val="00064467"/>
    <w:rsid w:val="0007763D"/>
    <w:rsid w:val="0008243B"/>
    <w:rsid w:val="000877BF"/>
    <w:rsid w:val="00091E7B"/>
    <w:rsid w:val="000D230F"/>
    <w:rsid w:val="000E20BF"/>
    <w:rsid w:val="00106906"/>
    <w:rsid w:val="00111454"/>
    <w:rsid w:val="0016305B"/>
    <w:rsid w:val="00170D2C"/>
    <w:rsid w:val="00190E73"/>
    <w:rsid w:val="001918FE"/>
    <w:rsid w:val="001A2888"/>
    <w:rsid w:val="001B67CB"/>
    <w:rsid w:val="001B6A3D"/>
    <w:rsid w:val="001C0081"/>
    <w:rsid w:val="001C10FB"/>
    <w:rsid w:val="001E275B"/>
    <w:rsid w:val="001E6B38"/>
    <w:rsid w:val="001F591B"/>
    <w:rsid w:val="001F7A6C"/>
    <w:rsid w:val="00225B82"/>
    <w:rsid w:val="002436E5"/>
    <w:rsid w:val="002603D7"/>
    <w:rsid w:val="00263876"/>
    <w:rsid w:val="00264568"/>
    <w:rsid w:val="00283DDC"/>
    <w:rsid w:val="00294D02"/>
    <w:rsid w:val="002A1C9D"/>
    <w:rsid w:val="002D2B17"/>
    <w:rsid w:val="002D6DE6"/>
    <w:rsid w:val="002F4C93"/>
    <w:rsid w:val="002F7238"/>
    <w:rsid w:val="00303747"/>
    <w:rsid w:val="00304A80"/>
    <w:rsid w:val="00311F5D"/>
    <w:rsid w:val="003202CE"/>
    <w:rsid w:val="003370D8"/>
    <w:rsid w:val="00344F4D"/>
    <w:rsid w:val="00345F10"/>
    <w:rsid w:val="00347B6E"/>
    <w:rsid w:val="0035691A"/>
    <w:rsid w:val="00365CB3"/>
    <w:rsid w:val="003663D1"/>
    <w:rsid w:val="0037668D"/>
    <w:rsid w:val="003809B6"/>
    <w:rsid w:val="00382329"/>
    <w:rsid w:val="003A32AD"/>
    <w:rsid w:val="003E2B22"/>
    <w:rsid w:val="003F52D0"/>
    <w:rsid w:val="00406148"/>
    <w:rsid w:val="00406EF4"/>
    <w:rsid w:val="00413BF7"/>
    <w:rsid w:val="004358A4"/>
    <w:rsid w:val="004378B6"/>
    <w:rsid w:val="0044035E"/>
    <w:rsid w:val="00486AFF"/>
    <w:rsid w:val="00490592"/>
    <w:rsid w:val="004C06F3"/>
    <w:rsid w:val="004C0FAE"/>
    <w:rsid w:val="004C37B2"/>
    <w:rsid w:val="004C420F"/>
    <w:rsid w:val="004E1BAF"/>
    <w:rsid w:val="004E5E17"/>
    <w:rsid w:val="004F24CD"/>
    <w:rsid w:val="00502C54"/>
    <w:rsid w:val="005362BF"/>
    <w:rsid w:val="00570BC5"/>
    <w:rsid w:val="005A2FDD"/>
    <w:rsid w:val="005A43DF"/>
    <w:rsid w:val="005B5668"/>
    <w:rsid w:val="005C304E"/>
    <w:rsid w:val="005C424E"/>
    <w:rsid w:val="005D1FF9"/>
    <w:rsid w:val="005D34B9"/>
    <w:rsid w:val="005D6E14"/>
    <w:rsid w:val="005F4A12"/>
    <w:rsid w:val="0060178E"/>
    <w:rsid w:val="006078F9"/>
    <w:rsid w:val="00610F28"/>
    <w:rsid w:val="00620E58"/>
    <w:rsid w:val="006270C6"/>
    <w:rsid w:val="006354FD"/>
    <w:rsid w:val="00641607"/>
    <w:rsid w:val="00656D1E"/>
    <w:rsid w:val="00662C5F"/>
    <w:rsid w:val="006650D7"/>
    <w:rsid w:val="006766CC"/>
    <w:rsid w:val="006924C4"/>
    <w:rsid w:val="006936A2"/>
    <w:rsid w:val="006971C6"/>
    <w:rsid w:val="006D7E4D"/>
    <w:rsid w:val="006F0A44"/>
    <w:rsid w:val="006F5EBB"/>
    <w:rsid w:val="007336F9"/>
    <w:rsid w:val="00742C69"/>
    <w:rsid w:val="00783BAD"/>
    <w:rsid w:val="007A02CE"/>
    <w:rsid w:val="007B3CF7"/>
    <w:rsid w:val="007D60DD"/>
    <w:rsid w:val="00815068"/>
    <w:rsid w:val="00816734"/>
    <w:rsid w:val="00822809"/>
    <w:rsid w:val="00830963"/>
    <w:rsid w:val="00834ED6"/>
    <w:rsid w:val="00856037"/>
    <w:rsid w:val="008854AA"/>
    <w:rsid w:val="008A4AAA"/>
    <w:rsid w:val="008C5FEB"/>
    <w:rsid w:val="008D1C56"/>
    <w:rsid w:val="008D26E3"/>
    <w:rsid w:val="0095469C"/>
    <w:rsid w:val="00964943"/>
    <w:rsid w:val="009B1AC1"/>
    <w:rsid w:val="009B2C90"/>
    <w:rsid w:val="009B7757"/>
    <w:rsid w:val="009D37B4"/>
    <w:rsid w:val="009F0B2A"/>
    <w:rsid w:val="00A00E85"/>
    <w:rsid w:val="00A17F2F"/>
    <w:rsid w:val="00A23802"/>
    <w:rsid w:val="00A24C77"/>
    <w:rsid w:val="00A42276"/>
    <w:rsid w:val="00A4662B"/>
    <w:rsid w:val="00A5183F"/>
    <w:rsid w:val="00A61547"/>
    <w:rsid w:val="00A63BB3"/>
    <w:rsid w:val="00A87EDF"/>
    <w:rsid w:val="00A923A5"/>
    <w:rsid w:val="00AA3D07"/>
    <w:rsid w:val="00AA6438"/>
    <w:rsid w:val="00AD08EA"/>
    <w:rsid w:val="00AD2FCB"/>
    <w:rsid w:val="00AF6720"/>
    <w:rsid w:val="00B40C50"/>
    <w:rsid w:val="00B42100"/>
    <w:rsid w:val="00B44886"/>
    <w:rsid w:val="00B55CB9"/>
    <w:rsid w:val="00B56602"/>
    <w:rsid w:val="00B66E6A"/>
    <w:rsid w:val="00B76CEA"/>
    <w:rsid w:val="00B873BB"/>
    <w:rsid w:val="00B91775"/>
    <w:rsid w:val="00B9667B"/>
    <w:rsid w:val="00BA7E73"/>
    <w:rsid w:val="00BB2FD1"/>
    <w:rsid w:val="00BB570E"/>
    <w:rsid w:val="00BC32B0"/>
    <w:rsid w:val="00BC4FCA"/>
    <w:rsid w:val="00BC7120"/>
    <w:rsid w:val="00BD2424"/>
    <w:rsid w:val="00BD34C8"/>
    <w:rsid w:val="00BE69CE"/>
    <w:rsid w:val="00BF0FDB"/>
    <w:rsid w:val="00BF5D55"/>
    <w:rsid w:val="00C01BC1"/>
    <w:rsid w:val="00C42F72"/>
    <w:rsid w:val="00C61D3E"/>
    <w:rsid w:val="00C67E84"/>
    <w:rsid w:val="00C707E7"/>
    <w:rsid w:val="00C76C38"/>
    <w:rsid w:val="00CB004E"/>
    <w:rsid w:val="00CB6E34"/>
    <w:rsid w:val="00CC560F"/>
    <w:rsid w:val="00CC65E0"/>
    <w:rsid w:val="00CD141B"/>
    <w:rsid w:val="00CF32B5"/>
    <w:rsid w:val="00CF5DB6"/>
    <w:rsid w:val="00D0168B"/>
    <w:rsid w:val="00D039C0"/>
    <w:rsid w:val="00D24F0E"/>
    <w:rsid w:val="00D4027B"/>
    <w:rsid w:val="00D53566"/>
    <w:rsid w:val="00D6185F"/>
    <w:rsid w:val="00D65F0E"/>
    <w:rsid w:val="00D71E8A"/>
    <w:rsid w:val="00D730FC"/>
    <w:rsid w:val="00D84920"/>
    <w:rsid w:val="00D942BB"/>
    <w:rsid w:val="00D95D63"/>
    <w:rsid w:val="00DD0D05"/>
    <w:rsid w:val="00DE47CA"/>
    <w:rsid w:val="00DE4EB0"/>
    <w:rsid w:val="00DE7A52"/>
    <w:rsid w:val="00DF7A1D"/>
    <w:rsid w:val="00E13CF0"/>
    <w:rsid w:val="00E163FB"/>
    <w:rsid w:val="00E22060"/>
    <w:rsid w:val="00E52CEA"/>
    <w:rsid w:val="00E62C0E"/>
    <w:rsid w:val="00E70E00"/>
    <w:rsid w:val="00E73C44"/>
    <w:rsid w:val="00E84E5F"/>
    <w:rsid w:val="00EA025F"/>
    <w:rsid w:val="00EA1811"/>
    <w:rsid w:val="00EA55DF"/>
    <w:rsid w:val="00ED2F0B"/>
    <w:rsid w:val="00EE50E1"/>
    <w:rsid w:val="00EF1F61"/>
    <w:rsid w:val="00EF320C"/>
    <w:rsid w:val="00F007A3"/>
    <w:rsid w:val="00F246BC"/>
    <w:rsid w:val="00F24D5C"/>
    <w:rsid w:val="00F30595"/>
    <w:rsid w:val="00F353B4"/>
    <w:rsid w:val="00F3588E"/>
    <w:rsid w:val="00F46099"/>
    <w:rsid w:val="00F5351D"/>
    <w:rsid w:val="00F562FB"/>
    <w:rsid w:val="00F63924"/>
    <w:rsid w:val="00FE675D"/>
    <w:rsid w:val="0165041A"/>
    <w:rsid w:val="022447DF"/>
    <w:rsid w:val="022C78E9"/>
    <w:rsid w:val="0314630F"/>
    <w:rsid w:val="06294C10"/>
    <w:rsid w:val="100B3A97"/>
    <w:rsid w:val="1493301D"/>
    <w:rsid w:val="156F24EF"/>
    <w:rsid w:val="1F2D3E59"/>
    <w:rsid w:val="21F812EF"/>
    <w:rsid w:val="22407D06"/>
    <w:rsid w:val="24291C3C"/>
    <w:rsid w:val="24BC345F"/>
    <w:rsid w:val="265F5BF6"/>
    <w:rsid w:val="29667ECA"/>
    <w:rsid w:val="34683060"/>
    <w:rsid w:val="38C14072"/>
    <w:rsid w:val="3EB6137D"/>
    <w:rsid w:val="41F87E8E"/>
    <w:rsid w:val="449219AD"/>
    <w:rsid w:val="4B117ABE"/>
    <w:rsid w:val="4CEA4248"/>
    <w:rsid w:val="4E681515"/>
    <w:rsid w:val="538A02F0"/>
    <w:rsid w:val="554E0DB8"/>
    <w:rsid w:val="566B24AA"/>
    <w:rsid w:val="57041CBB"/>
    <w:rsid w:val="574D0591"/>
    <w:rsid w:val="57505F8A"/>
    <w:rsid w:val="587D2C08"/>
    <w:rsid w:val="5A0B4732"/>
    <w:rsid w:val="5B137C11"/>
    <w:rsid w:val="5B8B66AB"/>
    <w:rsid w:val="5EC707C1"/>
    <w:rsid w:val="5F9C6D60"/>
    <w:rsid w:val="6092366F"/>
    <w:rsid w:val="62887089"/>
    <w:rsid w:val="648A25C5"/>
    <w:rsid w:val="6E1B7AD0"/>
    <w:rsid w:val="6E964F36"/>
    <w:rsid w:val="7B587F29"/>
    <w:rsid w:val="7C5E550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jc w:val="both"/>
    </w:pPr>
    <w:rPr>
      <w:rFonts w:ascii="仿宋_GB2312" w:hAnsi="Calibri" w:eastAsia="仿宋_GB2312" w:cs="Times New Roman"/>
      <w:kern w:val="2"/>
      <w:sz w:val="32"/>
      <w:szCs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qFormat/>
    <w:uiPriority w:val="99"/>
    <w:pPr>
      <w:spacing w:line="240" w:lineRule="auto"/>
      <w:ind w:left="100" w:leftChars="2500"/>
    </w:pPr>
    <w:rPr>
      <w:rFonts w:ascii="Times New Roman" w:hAnsi="Times New Roman" w:eastAsia="宋体"/>
      <w:kern w:val="0"/>
      <w:sz w:val="24"/>
      <w:szCs w:val="24"/>
    </w:rPr>
  </w:style>
  <w:style w:type="paragraph" w:styleId="3">
    <w:name w:val="Balloon Text"/>
    <w:basedOn w:val="1"/>
    <w:link w:val="12"/>
    <w:semiHidden/>
    <w:unhideWhenUsed/>
    <w:qFormat/>
    <w:uiPriority w:val="99"/>
    <w:pPr>
      <w:spacing w:line="240" w:lineRule="auto"/>
    </w:pPr>
    <w:rPr>
      <w:sz w:val="18"/>
      <w:szCs w:val="18"/>
    </w:rPr>
  </w:style>
  <w:style w:type="paragraph" w:styleId="4">
    <w:name w:val="footer"/>
    <w:basedOn w:val="1"/>
    <w:link w:val="11"/>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styleId="8">
    <w:name w:val="page number"/>
    <w:basedOn w:val="7"/>
    <w:qFormat/>
    <w:uiPriority w:val="0"/>
  </w:style>
  <w:style w:type="paragraph" w:customStyle="1" w:styleId="9">
    <w:name w:val="Char"/>
    <w:basedOn w:val="1"/>
    <w:qFormat/>
    <w:uiPriority w:val="99"/>
    <w:pPr>
      <w:spacing w:line="240" w:lineRule="auto"/>
    </w:pPr>
    <w:rPr>
      <w:rFonts w:ascii="Times New Roman" w:hAnsi="Times New Roman" w:eastAsia="宋体"/>
      <w:sz w:val="21"/>
      <w:szCs w:val="20"/>
    </w:rPr>
  </w:style>
  <w:style w:type="character" w:customStyle="1" w:styleId="10">
    <w:name w:val="页眉 Char"/>
    <w:link w:val="5"/>
    <w:qFormat/>
    <w:locked/>
    <w:uiPriority w:val="99"/>
    <w:rPr>
      <w:rFonts w:ascii="仿宋_GB2312" w:hAnsi="Calibri" w:eastAsia="仿宋_GB2312" w:cs="Times New Roman"/>
      <w:sz w:val="18"/>
      <w:szCs w:val="18"/>
    </w:rPr>
  </w:style>
  <w:style w:type="character" w:customStyle="1" w:styleId="11">
    <w:name w:val="页脚 Char"/>
    <w:link w:val="4"/>
    <w:qFormat/>
    <w:locked/>
    <w:uiPriority w:val="99"/>
    <w:rPr>
      <w:rFonts w:ascii="仿宋_GB2312" w:hAnsi="Calibri" w:eastAsia="仿宋_GB2312" w:cs="Times New Roman"/>
      <w:sz w:val="18"/>
      <w:szCs w:val="18"/>
    </w:rPr>
  </w:style>
  <w:style w:type="character" w:customStyle="1" w:styleId="12">
    <w:name w:val="批注框文本 Char"/>
    <w:link w:val="3"/>
    <w:semiHidden/>
    <w:qFormat/>
    <w:uiPriority w:val="99"/>
    <w:rPr>
      <w:rFonts w:ascii="仿宋_GB2312" w:eastAsia="仿宋_GB2312"/>
      <w:kern w:val="2"/>
      <w:sz w:val="18"/>
      <w:szCs w:val="18"/>
    </w:rPr>
  </w:style>
  <w:style w:type="character" w:customStyle="1" w:styleId="13">
    <w:name w:val="日期 Char"/>
    <w:link w:val="2"/>
    <w:semiHidden/>
    <w:qFormat/>
    <w:locked/>
    <w:uiPriority w:val="99"/>
    <w:rPr>
      <w:rFonts w:ascii="Times New Roman" w:hAnsi="Times New Roman"/>
      <w:sz w:val="24"/>
      <w:szCs w:val="24"/>
    </w:rPr>
  </w:style>
  <w:style w:type="character" w:customStyle="1" w:styleId="14">
    <w:name w:val="日期 Char1"/>
    <w:basedOn w:val="7"/>
    <w:semiHidden/>
    <w:qFormat/>
    <w:uiPriority w:val="99"/>
    <w:rPr>
      <w:rFonts w:ascii="仿宋_GB2312" w:eastAsia="仿宋_GB2312"/>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5</Pages>
  <Words>2424</Words>
  <Characters>2778</Characters>
  <Lines>67</Lines>
  <Paragraphs>18</Paragraphs>
  <TotalTime>1</TotalTime>
  <ScaleCrop>false</ScaleCrop>
  <LinksUpToDate>false</LinksUpToDate>
  <CharactersWithSpaces>2910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2019-04-15T01:57:00Z</dcterms:created>
  <dc:creator>lenovo</dc:creator>
  <cp:lastModifiedBy>ъīηg```</cp:lastModifiedBy>
  <cp:lastPrinted>2019-04-24T02:14:00Z</cp:lastPrinted>
  <dcterms:modified xsi:type="dcterms:W3CDTF">2022-08-30T08:07:41Z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F03A01E7A87C496BB858769828324A44</vt:lpwstr>
  </property>
</Properties>
</file>