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kern w:val="0"/>
        </w:rPr>
      </w:pPr>
      <w:bookmarkStart w:id="0" w:name="_GoBack"/>
      <w:bookmarkEnd w:id="0"/>
      <w:r>
        <w:rPr>
          <w:rFonts w:hint="eastAsia" w:ascii="黑体" w:hAnsi="黑体" w:eastAsia="黑体" w:cs="黑体"/>
          <w:kern w:val="0"/>
        </w:rPr>
        <w:t>附件2</w:t>
      </w:r>
    </w:p>
    <w:p>
      <w:pPr>
        <w:spacing w:afterLines="100" w:line="560" w:lineRule="exact"/>
        <w:jc w:val="center"/>
        <w:rPr>
          <w:rFonts w:eastAsia="方正小标宋简体"/>
          <w:kern w:val="0"/>
          <w:sz w:val="40"/>
          <w:szCs w:val="40"/>
        </w:rPr>
      </w:pPr>
      <w:r>
        <w:rPr>
          <w:rFonts w:hint="eastAsia" w:ascii="仿宋" w:hAnsi="仿宋" w:eastAsia="仿宋" w:cs="仿宋"/>
          <w:kern w:val="0"/>
          <w:sz w:val="40"/>
          <w:szCs w:val="40"/>
        </w:rPr>
        <w:t>2020</w:t>
      </w:r>
      <w:r>
        <w:rPr>
          <w:rFonts w:hint="eastAsia" w:eastAsia="方正小标宋简体"/>
          <w:kern w:val="0"/>
          <w:sz w:val="40"/>
          <w:szCs w:val="40"/>
        </w:rPr>
        <w:t>年度</w:t>
      </w:r>
      <w:r>
        <w:rPr>
          <w:rFonts w:eastAsia="方正小标宋简体"/>
          <w:kern w:val="0"/>
          <w:sz w:val="40"/>
          <w:szCs w:val="40"/>
        </w:rPr>
        <w:t>部门整体支出绩效</w:t>
      </w:r>
      <w:r>
        <w:rPr>
          <w:rFonts w:hint="eastAsia" w:eastAsia="方正小标宋简体"/>
          <w:kern w:val="0"/>
          <w:sz w:val="40"/>
          <w:szCs w:val="40"/>
        </w:rPr>
        <w:t>自</w:t>
      </w:r>
      <w:r>
        <w:rPr>
          <w:rFonts w:eastAsia="方正小标宋简体"/>
          <w:kern w:val="0"/>
          <w:sz w:val="40"/>
          <w:szCs w:val="40"/>
        </w:rPr>
        <w:t>评表</w:t>
      </w:r>
    </w:p>
    <w:tbl>
      <w:tblPr>
        <w:tblStyle w:val="7"/>
        <w:tblW w:w="90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03"/>
        <w:gridCol w:w="503"/>
        <w:gridCol w:w="91"/>
        <w:gridCol w:w="412"/>
        <w:gridCol w:w="180"/>
        <w:gridCol w:w="323"/>
        <w:gridCol w:w="156"/>
        <w:gridCol w:w="627"/>
        <w:gridCol w:w="517"/>
        <w:gridCol w:w="537"/>
        <w:gridCol w:w="1231"/>
        <w:gridCol w:w="569"/>
        <w:gridCol w:w="146"/>
        <w:gridCol w:w="240"/>
        <w:gridCol w:w="1716"/>
        <w:gridCol w:w="552"/>
        <w:gridCol w:w="7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部门名称</w:t>
            </w:r>
          </w:p>
        </w:tc>
        <w:tc>
          <w:tcPr>
            <w:tcW w:w="3960" w:type="dxa"/>
            <w:gridSpan w:val="7"/>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长沙市望城区残疾人联合会　</w:t>
            </w:r>
          </w:p>
        </w:tc>
        <w:tc>
          <w:tcPr>
            <w:tcW w:w="2102"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下属单位个数</w:t>
            </w:r>
          </w:p>
        </w:tc>
        <w:tc>
          <w:tcPr>
            <w:tcW w:w="1312"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restart"/>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整体支出规模</w:t>
            </w:r>
          </w:p>
        </w:tc>
        <w:tc>
          <w:tcPr>
            <w:tcW w:w="2160" w:type="dxa"/>
            <w:gridSpan w:val="5"/>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项   目</w:t>
            </w:r>
          </w:p>
        </w:tc>
        <w:tc>
          <w:tcPr>
            <w:tcW w:w="2186"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全年预算数</w:t>
            </w:r>
          </w:p>
        </w:tc>
        <w:tc>
          <w:tcPr>
            <w:tcW w:w="2268"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全年执行数</w:t>
            </w:r>
          </w:p>
        </w:tc>
        <w:tc>
          <w:tcPr>
            <w:tcW w:w="760" w:type="dxa"/>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资</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来</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源</w:t>
            </w:r>
          </w:p>
          <w:p>
            <w:pPr>
              <w:spacing w:line="250" w:lineRule="exact"/>
              <w:jc w:val="center"/>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合计</w:t>
            </w:r>
          </w:p>
        </w:tc>
        <w:tc>
          <w:tcPr>
            <w:tcW w:w="2186"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p>
        </w:tc>
        <w:tc>
          <w:tcPr>
            <w:tcW w:w="2268"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p>
        </w:tc>
        <w:tc>
          <w:tcPr>
            <w:tcW w:w="760"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（1）财政拨款</w:t>
            </w:r>
          </w:p>
        </w:tc>
        <w:tc>
          <w:tcPr>
            <w:tcW w:w="2186"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12374948</w:t>
            </w:r>
          </w:p>
        </w:tc>
        <w:tc>
          <w:tcPr>
            <w:tcW w:w="2268"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24206495.36</w:t>
            </w:r>
          </w:p>
        </w:tc>
        <w:tc>
          <w:tcPr>
            <w:tcW w:w="760" w:type="dxa"/>
            <w:tcBorders>
              <w:tl2br w:val="nil"/>
              <w:tr2bl w:val="nil"/>
            </w:tcBorders>
            <w:tcMar>
              <w:top w:w="15" w:type="dxa"/>
              <w:left w:w="15" w:type="dxa"/>
              <w:bottom w:w="0" w:type="dxa"/>
              <w:right w:w="15" w:type="dxa"/>
            </w:tcMar>
            <w:vAlign w:val="center"/>
          </w:tcPr>
          <w:p>
            <w:pPr>
              <w:spacing w:line="250" w:lineRule="exact"/>
              <w:ind w:firstLine="210" w:firstLineChars="1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（2）其他资金</w:t>
            </w:r>
          </w:p>
        </w:tc>
        <w:tc>
          <w:tcPr>
            <w:tcW w:w="2186"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p>
        </w:tc>
        <w:tc>
          <w:tcPr>
            <w:tcW w:w="2268"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p>
        </w:tc>
        <w:tc>
          <w:tcPr>
            <w:tcW w:w="760"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资</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结</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构</w:t>
            </w:r>
          </w:p>
          <w:p>
            <w:pPr>
              <w:spacing w:line="250" w:lineRule="exact"/>
              <w:jc w:val="center"/>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合计</w:t>
            </w:r>
          </w:p>
        </w:tc>
        <w:tc>
          <w:tcPr>
            <w:tcW w:w="2186"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p>
        </w:tc>
        <w:tc>
          <w:tcPr>
            <w:tcW w:w="2268"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p>
        </w:tc>
        <w:tc>
          <w:tcPr>
            <w:tcW w:w="760"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right"/>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（1）基本支出</w:t>
            </w:r>
          </w:p>
        </w:tc>
        <w:tc>
          <w:tcPr>
            <w:tcW w:w="2186"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2024948</w:t>
            </w:r>
          </w:p>
        </w:tc>
        <w:tc>
          <w:tcPr>
            <w:tcW w:w="2268"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2129131.03</w:t>
            </w:r>
          </w:p>
        </w:tc>
        <w:tc>
          <w:tcPr>
            <w:tcW w:w="760"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right"/>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tabs>
                <w:tab w:val="left" w:pos="567"/>
              </w:tabs>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（2）项目支出</w:t>
            </w:r>
          </w:p>
        </w:tc>
        <w:tc>
          <w:tcPr>
            <w:tcW w:w="2186"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10350000</w:t>
            </w:r>
          </w:p>
        </w:tc>
        <w:tc>
          <w:tcPr>
            <w:tcW w:w="2268"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22077364.33</w:t>
            </w:r>
          </w:p>
        </w:tc>
        <w:tc>
          <w:tcPr>
            <w:tcW w:w="760"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28" w:hRule="atLeast"/>
          <w:jc w:val="center"/>
        </w:trPr>
        <w:tc>
          <w:tcPr>
            <w:tcW w:w="1097" w:type="dxa"/>
            <w:gridSpan w:val="3"/>
            <w:vMerge w:val="restart"/>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年度总</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体目标</w:t>
            </w:r>
          </w:p>
        </w:tc>
        <w:tc>
          <w:tcPr>
            <w:tcW w:w="3983" w:type="dxa"/>
            <w:gridSpan w:val="8"/>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年初设定目标</w:t>
            </w:r>
          </w:p>
        </w:tc>
        <w:tc>
          <w:tcPr>
            <w:tcW w:w="3983" w:type="dxa"/>
            <w:gridSpan w:val="6"/>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50" w:hRule="atLeast"/>
          <w:jc w:val="center"/>
        </w:trPr>
        <w:tc>
          <w:tcPr>
            <w:tcW w:w="1097" w:type="dxa"/>
            <w:gridSpan w:val="3"/>
            <w:vMerge w:val="continue"/>
            <w:tcBorders>
              <w:tl2br w:val="nil"/>
              <w:tr2bl w:val="nil"/>
            </w:tcBorders>
            <w:vAlign w:val="center"/>
          </w:tcPr>
          <w:p>
            <w:pPr>
              <w:spacing w:line="250" w:lineRule="exact"/>
              <w:rPr>
                <w:rFonts w:asciiTheme="minorEastAsia" w:hAnsiTheme="minorEastAsia" w:eastAsiaTheme="minorEastAsia" w:cstheme="minorEastAsia"/>
                <w:color w:val="000000"/>
                <w:sz w:val="18"/>
                <w:szCs w:val="18"/>
              </w:rPr>
            </w:pPr>
          </w:p>
        </w:tc>
        <w:tc>
          <w:tcPr>
            <w:tcW w:w="3983" w:type="dxa"/>
            <w:gridSpan w:val="8"/>
            <w:tcBorders>
              <w:tl2br w:val="nil"/>
              <w:tr2bl w:val="nil"/>
            </w:tcBorders>
            <w:tcMar>
              <w:top w:w="15" w:type="dxa"/>
              <w:left w:w="15" w:type="dxa"/>
              <w:bottom w:w="0" w:type="dxa"/>
              <w:right w:w="15" w:type="dxa"/>
            </w:tcMar>
            <w:vAlign w:val="center"/>
          </w:tcPr>
          <w:p>
            <w:pPr>
              <w:spacing w:line="400" w:lineRule="exact"/>
              <w:rPr>
                <w:rFonts w:asciiTheme="minorEastAsia" w:hAnsiTheme="minorEastAsia" w:eastAsiaTheme="minorEastAsia" w:cstheme="minorEastAsia"/>
                <w:color w:val="000000"/>
                <w:sz w:val="21"/>
                <w:szCs w:val="21"/>
              </w:rPr>
            </w:pPr>
            <w:r>
              <w:rPr>
                <w:rFonts w:hint="eastAsia" w:ascii="宋体" w:hAnsi="宋体" w:eastAsia="宋体" w:cs="宋体"/>
                <w:color w:val="000000"/>
                <w:sz w:val="21"/>
                <w:szCs w:val="21"/>
              </w:rPr>
              <w:t>全年按计划实施扶残助残项目，如为有需求的残疾儿童和持证残疾人提供基本康复服务，覆盖面达到</w:t>
            </w:r>
            <w:r>
              <w:rPr>
                <w:rFonts w:ascii="宋体" w:hAnsi="宋体" w:eastAsia="宋体" w:cs="宋体"/>
                <w:color w:val="000000"/>
                <w:sz w:val="21"/>
                <w:szCs w:val="21"/>
              </w:rPr>
              <w:t>85</w:t>
            </w:r>
            <w:r>
              <w:rPr>
                <w:rFonts w:hint="eastAsia" w:ascii="宋体" w:hAnsi="宋体" w:eastAsia="宋体" w:cs="宋体"/>
                <w:color w:val="000000"/>
                <w:sz w:val="21"/>
                <w:szCs w:val="21"/>
              </w:rPr>
              <w:t>%</w:t>
            </w:r>
            <w:r>
              <w:rPr>
                <w:rFonts w:hint="eastAsia" w:asciiTheme="minorEastAsia" w:hAnsiTheme="minorEastAsia" w:eastAsiaTheme="minorEastAsia" w:cstheme="minorEastAsia"/>
                <w:color w:val="000000"/>
                <w:sz w:val="21"/>
                <w:szCs w:val="21"/>
              </w:rPr>
              <w:t>；为310人次发放残疾人辅助器具；</w:t>
            </w:r>
            <w:r>
              <w:rPr>
                <w:rFonts w:hint="eastAsia" w:ascii="宋体" w:hAnsi="宋体" w:eastAsia="宋体" w:cs="宋体"/>
                <w:color w:val="000000"/>
                <w:sz w:val="21"/>
                <w:szCs w:val="21"/>
              </w:rPr>
              <w:t>落实扶残助残政策，扩大残疾人受益面，如实施一户多残政策，救助近</w:t>
            </w:r>
            <w:r>
              <w:rPr>
                <w:rFonts w:ascii="宋体" w:hAnsi="宋体" w:eastAsia="宋体" w:cs="宋体"/>
                <w:color w:val="000000"/>
                <w:sz w:val="21"/>
                <w:szCs w:val="21"/>
              </w:rPr>
              <w:t>1100</w:t>
            </w:r>
            <w:r>
              <w:rPr>
                <w:rFonts w:hint="eastAsia" w:ascii="宋体" w:hAnsi="宋体" w:eastAsia="宋体" w:cs="宋体"/>
                <w:color w:val="000000"/>
                <w:sz w:val="21"/>
                <w:szCs w:val="21"/>
              </w:rPr>
              <w:t>户；慰问困难残疾人6</w:t>
            </w:r>
            <w:r>
              <w:rPr>
                <w:rFonts w:ascii="宋体" w:hAnsi="宋体" w:eastAsia="宋体" w:cs="宋体"/>
                <w:color w:val="000000"/>
                <w:sz w:val="21"/>
                <w:szCs w:val="21"/>
              </w:rPr>
              <w:t>50</w:t>
            </w:r>
            <w:r>
              <w:rPr>
                <w:rFonts w:hint="eastAsia" w:asciiTheme="minorEastAsia" w:hAnsiTheme="minorEastAsia" w:eastAsiaTheme="minorEastAsia" w:cstheme="minorEastAsia"/>
                <w:color w:val="000000"/>
                <w:sz w:val="21"/>
                <w:szCs w:val="21"/>
              </w:rPr>
              <w:t>户；</w:t>
            </w:r>
            <w:r>
              <w:rPr>
                <w:rFonts w:hint="eastAsia" w:ascii="宋体" w:hAnsi="宋体" w:eastAsia="宋体" w:cs="宋体"/>
                <w:color w:val="000000"/>
                <w:sz w:val="21"/>
                <w:szCs w:val="21"/>
              </w:rPr>
              <w:t>完成上级残联及区委政府安排的工作任务</w:t>
            </w:r>
            <w:r>
              <w:rPr>
                <w:rFonts w:hint="eastAsia" w:asciiTheme="minorEastAsia" w:hAnsiTheme="minorEastAsia" w:eastAsiaTheme="minorEastAsia" w:cstheme="minorEastAsia"/>
                <w:color w:val="000000"/>
                <w:sz w:val="21"/>
                <w:szCs w:val="21"/>
              </w:rPr>
              <w:t>　</w:t>
            </w:r>
          </w:p>
        </w:tc>
        <w:tc>
          <w:tcPr>
            <w:tcW w:w="3983" w:type="dxa"/>
            <w:gridSpan w:val="6"/>
            <w:tcBorders>
              <w:tl2br w:val="nil"/>
              <w:tr2bl w:val="nil"/>
            </w:tcBorders>
            <w:tcMar>
              <w:top w:w="15" w:type="dxa"/>
              <w:left w:w="15" w:type="dxa"/>
              <w:bottom w:w="0" w:type="dxa"/>
              <w:right w:w="15" w:type="dxa"/>
            </w:tcMar>
            <w:vAlign w:val="center"/>
          </w:tcPr>
          <w:p>
            <w:pPr>
              <w:spacing w:line="400" w:lineRule="exact"/>
              <w:rPr>
                <w:rFonts w:ascii="宋体" w:hAnsi="宋体" w:eastAsia="宋体" w:cs="宋体"/>
                <w:color w:val="000000"/>
                <w:sz w:val="21"/>
                <w:szCs w:val="21"/>
              </w:rPr>
            </w:pPr>
            <w:r>
              <w:rPr>
                <w:rFonts w:hint="eastAsia" w:ascii="宋体" w:hAnsi="宋体" w:eastAsia="宋体" w:cs="宋体"/>
                <w:color w:val="000000"/>
                <w:sz w:val="21"/>
                <w:szCs w:val="21"/>
              </w:rPr>
              <w:t>扶持残疾人创业16人，完成率</w:t>
            </w:r>
            <w:r>
              <w:rPr>
                <w:rFonts w:ascii="宋体" w:hAnsi="宋体" w:eastAsia="宋体" w:cs="宋体"/>
                <w:color w:val="000000"/>
                <w:sz w:val="21"/>
                <w:szCs w:val="21"/>
              </w:rPr>
              <w:t>106.67</w:t>
            </w:r>
            <w:r>
              <w:rPr>
                <w:rFonts w:hint="eastAsia" w:ascii="宋体" w:hAnsi="宋体" w:eastAsia="宋体" w:cs="宋体"/>
                <w:color w:val="000000"/>
                <w:sz w:val="21"/>
                <w:szCs w:val="21"/>
              </w:rPr>
              <w:t>%； 完成扶残助学594名，完成率228.46%；残疾人家庭无障碍改造385户，完成任务100%； 辅具发放429件，完成率138.39%；全年为1226户“一户多残”家庭发放补助金，实现应补尽补；光明关爱工程惠及人数为142人，完成任务142%。</w:t>
            </w:r>
          </w:p>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1" w:hRule="atLeast"/>
          <w:jc w:val="center"/>
        </w:trPr>
        <w:tc>
          <w:tcPr>
            <w:tcW w:w="9063" w:type="dxa"/>
            <w:gridSpan w:val="17"/>
            <w:tcBorders>
              <w:tl2br w:val="nil"/>
              <w:tr2bl w:val="nil"/>
            </w:tcBorders>
            <w:vAlign w:val="center"/>
          </w:tcPr>
          <w:p>
            <w:pPr>
              <w:spacing w:line="25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分解目标自评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blHeader/>
          <w:jc w:val="center"/>
        </w:trPr>
        <w:tc>
          <w:tcPr>
            <w:tcW w:w="503" w:type="dxa"/>
            <w:tcBorders>
              <w:tl2br w:val="nil"/>
              <w:tr2bl w:val="nil"/>
            </w:tcBorders>
            <w:vAlign w:val="center"/>
          </w:tcPr>
          <w:p>
            <w:pPr>
              <w:spacing w:line="240" w:lineRule="auto"/>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一级指标</w:t>
            </w:r>
          </w:p>
        </w:tc>
        <w:tc>
          <w:tcPr>
            <w:tcW w:w="503" w:type="dxa"/>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503" w:type="dxa"/>
            <w:gridSpan w:val="2"/>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二级</w:t>
            </w:r>
          </w:p>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503" w:type="dxa"/>
            <w:gridSpan w:val="2"/>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783" w:type="dxa"/>
            <w:gridSpan w:val="2"/>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三级</w:t>
            </w:r>
          </w:p>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517" w:type="dxa"/>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2483" w:type="dxa"/>
            <w:gridSpan w:val="4"/>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评价标准</w:t>
            </w:r>
          </w:p>
        </w:tc>
        <w:tc>
          <w:tcPr>
            <w:tcW w:w="2508" w:type="dxa"/>
            <w:gridSpan w:val="3"/>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指标说明</w:t>
            </w:r>
          </w:p>
        </w:tc>
        <w:tc>
          <w:tcPr>
            <w:tcW w:w="760" w:type="dxa"/>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80" w:hRule="atLeast"/>
          <w:jc w:val="center"/>
        </w:trPr>
        <w:tc>
          <w:tcPr>
            <w:tcW w:w="503" w:type="dxa"/>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投入</w:t>
            </w:r>
          </w:p>
        </w:tc>
        <w:tc>
          <w:tcPr>
            <w:tcW w:w="503" w:type="dxa"/>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预算配置</w:t>
            </w: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在职人员控制率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以100%为标准。在职人员控制率≦100%，计5分；每超过一个百分点扣0.5分，扣完为止。</w:t>
            </w:r>
          </w:p>
        </w:tc>
        <w:tc>
          <w:tcPr>
            <w:tcW w:w="2508"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在职人员控制率=（在职人员数/编制数）×100%，在职人员数：部门（单位）实际在职人数，以财政厅确定的部门决算编制口径为准。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编制数：机构编制部门核定批复的部门（单位）的人员编制数。</w:t>
            </w:r>
          </w:p>
        </w:tc>
        <w:tc>
          <w:tcPr>
            <w:tcW w:w="760" w:type="dxa"/>
            <w:tcBorders>
              <w:tl2br w:val="nil"/>
              <w:tr2bl w:val="nil"/>
            </w:tcBorders>
            <w:vAlign w:val="center"/>
          </w:tcPr>
          <w:p>
            <w:pPr>
              <w:spacing w:line="240" w:lineRule="exact"/>
              <w:jc w:val="left"/>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49"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“三公经费”变动率≦0,计5分；“三公经费”＞0，每超过一个百分点扣0.8分，扣完为止。</w:t>
            </w:r>
          </w:p>
        </w:tc>
        <w:tc>
          <w:tcPr>
            <w:tcW w:w="2508"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“三公经费”变动率=[（本年度“三公经费”预算数-上年度“三公经费”预算数）/上年度“三公经费”预算数]×100%</w:t>
            </w:r>
          </w:p>
        </w:tc>
        <w:tc>
          <w:tcPr>
            <w:tcW w:w="760" w:type="dxa"/>
            <w:tcBorders>
              <w:tl2br w:val="nil"/>
              <w:tr2bl w:val="nil"/>
            </w:tcBorders>
            <w:vAlign w:val="center"/>
          </w:tcPr>
          <w:p>
            <w:pPr>
              <w:spacing w:line="240" w:lineRule="exact"/>
              <w:jc w:val="left"/>
              <w:rPr>
                <w:rFonts w:asciiTheme="minorEastAsia" w:hAnsiTheme="minorEastAsia" w:eastAsiaTheme="minorEastAsia" w:cstheme="minorEastAsia"/>
                <w:color w:val="000000"/>
                <w:kern w:val="0"/>
                <w:sz w:val="18"/>
                <w:szCs w:val="18"/>
              </w:rPr>
            </w:pPr>
            <w:r>
              <w:rPr>
                <w:rFonts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过</w:t>
            </w:r>
          </w:p>
          <w:p>
            <w:pPr>
              <w:spacing w:line="240" w:lineRule="exact"/>
              <w:jc w:val="center"/>
              <w:rPr>
                <w:rFonts w:asciiTheme="minorEastAsia" w:hAnsiTheme="minorEastAsia" w:eastAsiaTheme="minorEastAsia" w:cstheme="minorEastAsia"/>
                <w:kern w:val="0"/>
                <w:sz w:val="18"/>
                <w:szCs w:val="18"/>
              </w:rPr>
            </w:pPr>
          </w:p>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程</w:t>
            </w:r>
          </w:p>
        </w:tc>
        <w:tc>
          <w:tcPr>
            <w:tcW w:w="503" w:type="dxa"/>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预算执行</w:t>
            </w: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w:t>
            </w: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预算完成率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100%计满分，每低于5%扣2分，扣完为止。</w:t>
            </w:r>
          </w:p>
        </w:tc>
        <w:tc>
          <w:tcPr>
            <w:tcW w:w="2508"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预算完成率=（上年结转+年初预算+本年追加预算-年末结余）/（上年结转+年初预算+本年追加预算）×100%。</w:t>
            </w:r>
          </w:p>
        </w:tc>
        <w:tc>
          <w:tcPr>
            <w:tcW w:w="760" w:type="dxa"/>
            <w:tcBorders>
              <w:tl2br w:val="nil"/>
              <w:tr2bl w:val="nil"/>
            </w:tcBorders>
            <w:vAlign w:val="center"/>
          </w:tcPr>
          <w:p>
            <w:pPr>
              <w:spacing w:line="240" w:lineRule="exact"/>
              <w:jc w:val="left"/>
              <w:rPr>
                <w:rFonts w:asciiTheme="minorEastAsia" w:hAnsiTheme="minorEastAsia" w:eastAsiaTheme="minorEastAsia" w:cstheme="minorEastAsia"/>
                <w:color w:val="000000"/>
                <w:kern w:val="0"/>
                <w:sz w:val="18"/>
                <w:szCs w:val="18"/>
              </w:rPr>
            </w:pPr>
            <w:r>
              <w:rPr>
                <w:rFonts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预算控制率=0，计5分；0-10%（含），计4分；10-20%（含），计3分；20-30%（含），计2分；大于30%不得分。</w:t>
            </w:r>
          </w:p>
        </w:tc>
        <w:tc>
          <w:tcPr>
            <w:tcW w:w="2508"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预算控制率=（本年追加预算/年初预算）×100%。</w:t>
            </w:r>
          </w:p>
        </w:tc>
        <w:tc>
          <w:tcPr>
            <w:tcW w:w="760" w:type="dxa"/>
            <w:tcBorders>
              <w:tl2br w:val="nil"/>
              <w:tr2bl w:val="nil"/>
            </w:tcBorders>
            <w:vAlign w:val="center"/>
          </w:tcPr>
          <w:p>
            <w:pPr>
              <w:spacing w:line="240" w:lineRule="exact"/>
              <w:jc w:val="left"/>
              <w:rPr>
                <w:rFonts w:asciiTheme="minorEastAsia" w:hAnsiTheme="minorEastAsia" w:eastAsiaTheme="minorEastAsia" w:cstheme="minorEastAsia"/>
                <w:color w:val="000000"/>
                <w:kern w:val="0"/>
                <w:sz w:val="18"/>
                <w:szCs w:val="18"/>
              </w:rPr>
            </w:pPr>
            <w:r>
              <w:rPr>
                <w:rFonts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新建楼堂馆所面积控制率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100%以下（含）计满分，每超出5%扣2分，扣完为止。没有楼堂馆所项目的部门按满分计算。</w:t>
            </w:r>
          </w:p>
        </w:tc>
        <w:tc>
          <w:tcPr>
            <w:tcW w:w="2508"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楼堂馆所面积控制率=实际建设面积/批准建设面积×100% 。</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该指标以当年完工的新建楼堂馆所为评价内容。</w:t>
            </w:r>
          </w:p>
        </w:tc>
        <w:tc>
          <w:tcPr>
            <w:tcW w:w="760" w:type="dxa"/>
            <w:tcBorders>
              <w:tl2br w:val="nil"/>
              <w:tr2bl w:val="nil"/>
            </w:tcBorders>
            <w:vAlign w:val="center"/>
          </w:tcPr>
          <w:p>
            <w:pPr>
              <w:spacing w:line="240" w:lineRule="exact"/>
              <w:jc w:val="left"/>
              <w:rPr>
                <w:rFonts w:asciiTheme="minorEastAsia" w:hAnsiTheme="minorEastAsia" w:eastAsiaTheme="minorEastAsia" w:cstheme="minorEastAsia"/>
                <w:color w:val="000000"/>
                <w:kern w:val="0"/>
                <w:sz w:val="18"/>
                <w:szCs w:val="18"/>
              </w:rPr>
            </w:pPr>
            <w:r>
              <w:rPr>
                <w:rFonts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新建楼堂馆所投资概算控制率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100%以下（含）计满分，每超出5%扣2分，扣完为止。</w:t>
            </w:r>
          </w:p>
        </w:tc>
        <w:tc>
          <w:tcPr>
            <w:tcW w:w="2508"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楼堂馆所投资预算控制率=实际投资金额/批准投资金额×100% 。</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该指标以当年完工的新建楼堂馆所为评价内容。</w:t>
            </w:r>
          </w:p>
        </w:tc>
        <w:tc>
          <w:tcPr>
            <w:tcW w:w="760" w:type="dxa"/>
            <w:tcBorders>
              <w:tl2br w:val="nil"/>
              <w:tr2bl w:val="nil"/>
            </w:tcBorders>
            <w:vAlign w:val="center"/>
          </w:tcPr>
          <w:p>
            <w:pPr>
              <w:spacing w:line="240" w:lineRule="exact"/>
              <w:jc w:val="left"/>
              <w:rPr>
                <w:rFonts w:asciiTheme="minorEastAsia" w:hAnsiTheme="minorEastAsia" w:eastAsiaTheme="minorEastAsia" w:cstheme="minorEastAsia"/>
                <w:color w:val="000000"/>
                <w:kern w:val="0"/>
                <w:sz w:val="18"/>
                <w:szCs w:val="18"/>
              </w:rPr>
            </w:pPr>
            <w:r>
              <w:rPr>
                <w:rFonts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预算管理</w:t>
            </w: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40</w:t>
            </w: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公用经费控制率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100%以下（含）计满分，每超出1%扣1分，扣完为止。</w:t>
            </w:r>
          </w:p>
        </w:tc>
        <w:tc>
          <w:tcPr>
            <w:tcW w:w="2508"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公用经费控制率=（实际支出公用经费总额/预算安排公用经费总额）×100%。</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公用经费支出是指部门基本支出中的一般商品和服务支出。</w:t>
            </w:r>
          </w:p>
        </w:tc>
        <w:tc>
          <w:tcPr>
            <w:tcW w:w="760" w:type="dxa"/>
            <w:tcBorders>
              <w:tl2br w:val="nil"/>
              <w:tr2bl w:val="nil"/>
            </w:tcBorders>
            <w:vAlign w:val="center"/>
          </w:tcPr>
          <w:p>
            <w:pPr>
              <w:spacing w:line="240" w:lineRule="exact"/>
              <w:jc w:val="left"/>
              <w:rPr>
                <w:rFonts w:asciiTheme="minorEastAsia" w:hAnsiTheme="minorEastAsia" w:eastAsiaTheme="minorEastAsia" w:cstheme="minorEastAsia"/>
                <w:color w:val="000000"/>
                <w:kern w:val="0"/>
                <w:sz w:val="18"/>
                <w:szCs w:val="18"/>
              </w:rPr>
            </w:pPr>
            <w:r>
              <w:rPr>
                <w:rFonts w:asciiTheme="minorEastAsia" w:hAnsiTheme="minorEastAsia" w:eastAsiaTheme="minorEastAsia" w:cstheme="minorEastAsia"/>
                <w:color w:val="000000"/>
                <w:kern w:val="0"/>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100%以下（含）计满分，每超出1%扣1分，扣完为止。</w:t>
            </w:r>
          </w:p>
        </w:tc>
        <w:tc>
          <w:tcPr>
            <w:tcW w:w="2508"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“三公经费”控制率=（“三公经费”实际支出数/“三公经费”预算安排数）×100%。</w:t>
            </w:r>
          </w:p>
        </w:tc>
        <w:tc>
          <w:tcPr>
            <w:tcW w:w="760" w:type="dxa"/>
            <w:tcBorders>
              <w:tl2br w:val="nil"/>
              <w:tr2bl w:val="nil"/>
            </w:tcBorders>
            <w:vAlign w:val="center"/>
          </w:tcPr>
          <w:p>
            <w:pPr>
              <w:spacing w:line="240" w:lineRule="exact"/>
              <w:jc w:val="left"/>
              <w:rPr>
                <w:rFonts w:asciiTheme="minorEastAsia" w:hAnsiTheme="minorEastAsia" w:eastAsiaTheme="minorEastAsia" w:cstheme="minorEastAsia"/>
                <w:color w:val="000000"/>
                <w:kern w:val="0"/>
                <w:sz w:val="18"/>
                <w:szCs w:val="18"/>
              </w:rPr>
            </w:pPr>
            <w:r>
              <w:rPr>
                <w:rFonts w:asciiTheme="minorEastAsia" w:hAnsiTheme="minorEastAsia" w:eastAsiaTheme="minorEastAsia" w:cstheme="minorEastAsia"/>
                <w:color w:val="000000"/>
                <w:kern w:val="0"/>
                <w:sz w:val="18"/>
                <w:szCs w:val="18"/>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政府采购执行率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100%计满分，每超过（降低）5%扣2分。扣完为止。</w:t>
            </w:r>
          </w:p>
        </w:tc>
        <w:tc>
          <w:tcPr>
            <w:tcW w:w="2508"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政府采购执行率=（实际政府采购金额/政府采购预算数）×100%</w:t>
            </w:r>
          </w:p>
        </w:tc>
        <w:tc>
          <w:tcPr>
            <w:tcW w:w="760" w:type="dxa"/>
            <w:tcBorders>
              <w:tl2br w:val="nil"/>
              <w:tr2bl w:val="nil"/>
            </w:tcBorders>
            <w:vAlign w:val="center"/>
          </w:tcPr>
          <w:p>
            <w:pPr>
              <w:spacing w:line="240" w:lineRule="exact"/>
              <w:jc w:val="left"/>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　</w:t>
            </w:r>
            <w:r>
              <w:rPr>
                <w:rFonts w:asciiTheme="minorEastAsia" w:hAnsiTheme="minorEastAsia" w:eastAsiaTheme="minorEastAsia" w:cstheme="minorEastAsia"/>
                <w:kern w:val="0"/>
                <w:sz w:val="18"/>
                <w:szCs w:val="18"/>
              </w:rPr>
              <w:t>0</w:t>
            </w:r>
            <w:r>
              <w:rPr>
                <w:rFonts w:hint="eastAsia" w:asciiTheme="minorEastAsia" w:hAnsiTheme="minorEastAsia" w:eastAsiaTheme="minorEastAsia" w:cstheme="minorEastAsia"/>
                <w:kern w:val="0"/>
                <w:sz w:val="18"/>
                <w:szCs w:val="18"/>
                <w:shd w:val="clear" w:color="auto" w:fill="FFFFFF"/>
              </w:rPr>
              <w:fldChar w:fldCharType="begin">
                <w:fldData xml:space="preserve">QQAyADgAOAA0ADIANgBBAEUANwBDADYANABEADMARABCADQAQgA1ADEAQgAzAEIAQgBBAEIARAAy
ADcARQAzAA==
</w:fldData>
              </w:fldChar>
            </w:r>
            <w:r>
              <w:rPr>
                <w:rFonts w:hint="eastAsia" w:asciiTheme="minorEastAsia" w:hAnsiTheme="minorEastAsia" w:eastAsiaTheme="minorEastAsia" w:cstheme="minorEastAsia"/>
                <w:kern w:val="0"/>
                <w:sz w:val="18"/>
                <w:szCs w:val="18"/>
                <w:shd w:val="clear" w:color="auto" w:fill="FFFFFF"/>
              </w:rPr>
              <w:instrText xml:space="preserve">Addin PF9</w:instrText>
            </w:r>
            <w:r>
              <w:rPr>
                <w:rFonts w:hint="eastAsia" w:asciiTheme="minorEastAsia" w:hAnsiTheme="minorEastAsia" w:eastAsiaTheme="minorEastAsia" w:cstheme="minorEastAsia"/>
                <w:kern w:val="0"/>
                <w:sz w:val="18"/>
                <w:szCs w:val="18"/>
                <w:shd w:val="clear" w:color="auto" w:fill="FFFFFF"/>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16" w:hRule="atLeast"/>
          <w:jc w:val="center"/>
        </w:trPr>
        <w:tc>
          <w:tcPr>
            <w:tcW w:w="503" w:type="dxa"/>
            <w:vMerge w:val="continue"/>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管理制度健全性</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spacing w:line="26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①有内部财务管理制度、会计核算制度等管理制度，2分；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②有本部门厉行节约制度,2分；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③相关管理制度合法、合规、完整，2分；④相关管理制度得到有效执行，2分。</w:t>
            </w:r>
          </w:p>
        </w:tc>
        <w:tc>
          <w:tcPr>
            <w:tcW w:w="2508"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760" w:type="dxa"/>
            <w:tcBorders>
              <w:tl2br w:val="nil"/>
              <w:tr2bl w:val="nil"/>
            </w:tcBorders>
            <w:vAlign w:val="center"/>
          </w:tcPr>
          <w:p>
            <w:pPr>
              <w:spacing w:line="280" w:lineRule="exact"/>
              <w:jc w:val="left"/>
              <w:rPr>
                <w:rFonts w:asciiTheme="minorEastAsia" w:hAnsiTheme="minorEastAsia" w:eastAsiaTheme="minorEastAsia" w:cstheme="minorEastAsia"/>
                <w:color w:val="000000"/>
                <w:kern w:val="0"/>
                <w:sz w:val="18"/>
                <w:szCs w:val="18"/>
              </w:rPr>
            </w:pPr>
            <w:r>
              <w:rPr>
                <w:rFonts w:asciiTheme="minorEastAsia" w:hAnsiTheme="minorEastAsia" w:eastAsiaTheme="minorEastAsia" w:cstheme="minorEastAsia"/>
                <w:color w:val="000000"/>
                <w:kern w:val="0"/>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85" w:hRule="atLeast"/>
          <w:jc w:val="center"/>
        </w:trPr>
        <w:tc>
          <w:tcPr>
            <w:tcW w:w="503" w:type="dxa"/>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过</w:t>
            </w:r>
          </w:p>
          <w:p>
            <w:pPr>
              <w:spacing w:line="240" w:lineRule="exact"/>
              <w:jc w:val="center"/>
              <w:rPr>
                <w:rFonts w:asciiTheme="minorEastAsia" w:hAnsiTheme="minorEastAsia" w:eastAsiaTheme="minorEastAsia" w:cstheme="minorEastAsia"/>
                <w:kern w:val="0"/>
                <w:sz w:val="18"/>
                <w:szCs w:val="18"/>
              </w:rPr>
            </w:pPr>
          </w:p>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程</w:t>
            </w:r>
          </w:p>
        </w:tc>
        <w:tc>
          <w:tcPr>
            <w:tcW w:w="503" w:type="dxa"/>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503" w:type="dxa"/>
            <w:gridSpan w:val="2"/>
            <w:vMerge w:val="restart"/>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预算管理</w:t>
            </w:r>
          </w:p>
        </w:tc>
        <w:tc>
          <w:tcPr>
            <w:tcW w:w="503" w:type="dxa"/>
            <w:gridSpan w:val="2"/>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40</w:t>
            </w: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资金使用合规性</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6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以上情况每出现一例不符合要求的扣1分，扣完为止。</w:t>
            </w:r>
          </w:p>
        </w:tc>
        <w:tc>
          <w:tcPr>
            <w:tcW w:w="2508"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760" w:type="dxa"/>
            <w:tcBorders>
              <w:tl2br w:val="nil"/>
              <w:tr2bl w:val="nil"/>
            </w:tcBorders>
            <w:vAlign w:val="center"/>
          </w:tcPr>
          <w:p>
            <w:pPr>
              <w:spacing w:line="280" w:lineRule="exact"/>
              <w:jc w:val="left"/>
              <w:rPr>
                <w:rFonts w:asciiTheme="minorEastAsia" w:hAnsiTheme="minorEastAsia" w:eastAsiaTheme="minorEastAsia" w:cstheme="minorEastAsia"/>
                <w:color w:val="000000"/>
                <w:kern w:val="0"/>
                <w:sz w:val="18"/>
                <w:szCs w:val="18"/>
              </w:rPr>
            </w:pPr>
            <w:r>
              <w:rPr>
                <w:rFonts w:asciiTheme="minorEastAsia" w:hAnsiTheme="minorEastAsia" w:eastAsiaTheme="minorEastAsia" w:cstheme="minorEastAsia"/>
                <w:color w:val="000000"/>
                <w:kern w:val="0"/>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65" w:hRule="atLeast"/>
          <w:jc w:val="center"/>
        </w:trPr>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预决算信息公开性</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6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508"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预决算信息是指与部门预算、执行、决算、监督、绩效等管理相关的信息。</w:t>
            </w:r>
          </w:p>
        </w:tc>
        <w:tc>
          <w:tcPr>
            <w:tcW w:w="760" w:type="dxa"/>
            <w:tcBorders>
              <w:tl2br w:val="nil"/>
              <w:tr2bl w:val="nil"/>
            </w:tcBorders>
            <w:vAlign w:val="center"/>
          </w:tcPr>
          <w:p>
            <w:pPr>
              <w:spacing w:line="280" w:lineRule="exact"/>
              <w:jc w:val="left"/>
              <w:rPr>
                <w:rFonts w:asciiTheme="minorEastAsia" w:hAnsiTheme="minorEastAsia" w:eastAsiaTheme="minorEastAsia" w:cstheme="minorEastAsia"/>
                <w:color w:val="000000"/>
                <w:kern w:val="0"/>
                <w:sz w:val="18"/>
                <w:szCs w:val="18"/>
              </w:rPr>
            </w:pPr>
            <w:r>
              <w:rPr>
                <w:rFonts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35" w:hRule="atLeast"/>
          <w:jc w:val="center"/>
        </w:trPr>
        <w:tc>
          <w:tcPr>
            <w:tcW w:w="503" w:type="dxa"/>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产出及效率</w:t>
            </w:r>
          </w:p>
        </w:tc>
        <w:tc>
          <w:tcPr>
            <w:tcW w:w="503" w:type="dxa"/>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w:t>
            </w:r>
          </w:p>
        </w:tc>
        <w:tc>
          <w:tcPr>
            <w:tcW w:w="50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职责履行</w:t>
            </w:r>
          </w:p>
        </w:tc>
        <w:tc>
          <w:tcPr>
            <w:tcW w:w="50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重点工作实际完成率</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根据履职情况，结合绩效目标和项目性质，对重点工作计划完成、产出质量、产出时效和有关成本控制情况评价，实现70%以上得4分，70%以下不得分。</w:t>
            </w:r>
          </w:p>
        </w:tc>
        <w:tc>
          <w:tcPr>
            <w:tcW w:w="2508"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760" w:type="dxa"/>
            <w:tcBorders>
              <w:tl2br w:val="nil"/>
              <w:tr2bl w:val="nil"/>
            </w:tcBorders>
            <w:vAlign w:val="center"/>
          </w:tcPr>
          <w:p>
            <w:pPr>
              <w:spacing w:line="280" w:lineRule="exact"/>
              <w:jc w:val="left"/>
              <w:rPr>
                <w:rFonts w:asciiTheme="minorEastAsia" w:hAnsiTheme="minorEastAsia" w:eastAsiaTheme="minorEastAsia" w:cstheme="minorEastAsia"/>
                <w:color w:val="000000"/>
                <w:kern w:val="0"/>
                <w:sz w:val="18"/>
                <w:szCs w:val="18"/>
              </w:rPr>
            </w:pPr>
            <w:r>
              <w:rPr>
                <w:rFonts w:asciiTheme="minorEastAsia" w:hAnsiTheme="minorEastAsia" w:eastAsiaTheme="minorEastAsia" w:cstheme="minorEastAsia"/>
                <w:color w:val="000000"/>
                <w:kern w:val="0"/>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54" w:hRule="atLeast"/>
          <w:jc w:val="center"/>
        </w:trPr>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履职 效益</w:t>
            </w:r>
          </w:p>
        </w:tc>
        <w:tc>
          <w:tcPr>
            <w:tcW w:w="503" w:type="dxa"/>
            <w:gridSpan w:val="2"/>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经济</w:t>
            </w:r>
          </w:p>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效益</w:t>
            </w:r>
          </w:p>
        </w:tc>
        <w:tc>
          <w:tcPr>
            <w:tcW w:w="517" w:type="dxa"/>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2483" w:type="dxa"/>
            <w:gridSpan w:val="4"/>
            <w:vMerge w:val="restart"/>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此两项指标为设置部门整体支出绩效评价指标时必须考虑的共性要素，可根据部门实际情况有选择的进行设置，并将其细化为相应的个性化指标。</w:t>
            </w:r>
          </w:p>
        </w:tc>
        <w:tc>
          <w:tcPr>
            <w:tcW w:w="2508" w:type="dxa"/>
            <w:gridSpan w:val="3"/>
            <w:vMerge w:val="restart"/>
            <w:tcBorders>
              <w:tl2br w:val="nil"/>
              <w:tr2bl w:val="nil"/>
            </w:tcBorders>
            <w:vAlign w:val="center"/>
          </w:tcPr>
          <w:p>
            <w:pPr>
              <w:spacing w:line="280" w:lineRule="exact"/>
              <w:jc w:val="left"/>
              <w:rPr>
                <w:rFonts w:asciiTheme="minorEastAsia" w:hAnsiTheme="minorEastAsia" w:eastAsiaTheme="minorEastAsia" w:cstheme="minorEastAsia"/>
                <w:color w:val="000000"/>
                <w:kern w:val="0"/>
                <w:sz w:val="18"/>
                <w:szCs w:val="18"/>
              </w:rPr>
            </w:pPr>
          </w:p>
        </w:tc>
        <w:tc>
          <w:tcPr>
            <w:tcW w:w="760" w:type="dxa"/>
            <w:vMerge w:val="restart"/>
            <w:tcBorders>
              <w:tl2br w:val="nil"/>
              <w:tr2bl w:val="nil"/>
            </w:tcBorders>
            <w:vAlign w:val="center"/>
          </w:tcPr>
          <w:p>
            <w:pPr>
              <w:spacing w:line="280" w:lineRule="exact"/>
              <w:jc w:val="left"/>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w:t>
            </w:r>
          </w:p>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效益</w:t>
            </w:r>
          </w:p>
        </w:tc>
        <w:tc>
          <w:tcPr>
            <w:tcW w:w="517"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2483" w:type="dxa"/>
            <w:gridSpan w:val="4"/>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2508" w:type="dxa"/>
            <w:gridSpan w:val="3"/>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760"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84" w:hRule="atLeast"/>
          <w:jc w:val="center"/>
        </w:trPr>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12</w:t>
            </w: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w:t>
            </w:r>
          </w:p>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效能</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促进部门改进文风会风，加强经费及资产管理，推动网上办事，提高行政效率，降低行政成本效果较好的计6分；一般3分；无效果或者效果不明显0分。</w:t>
            </w:r>
          </w:p>
        </w:tc>
        <w:tc>
          <w:tcPr>
            <w:tcW w:w="2508"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根据部门自评材料评定。</w:t>
            </w:r>
          </w:p>
        </w:tc>
        <w:tc>
          <w:tcPr>
            <w:tcW w:w="760" w:type="dxa"/>
            <w:tcBorders>
              <w:tl2br w:val="nil"/>
              <w:tr2bl w:val="nil"/>
            </w:tcBorders>
            <w:vAlign w:val="center"/>
          </w:tcPr>
          <w:p>
            <w:pPr>
              <w:spacing w:line="280" w:lineRule="exact"/>
              <w:jc w:val="left"/>
              <w:rPr>
                <w:rFonts w:asciiTheme="minorEastAsia" w:hAnsiTheme="minorEastAsia" w:eastAsiaTheme="minorEastAsia" w:cstheme="minorEastAsia"/>
                <w:color w:val="000000"/>
                <w:kern w:val="0"/>
                <w:sz w:val="18"/>
                <w:szCs w:val="18"/>
              </w:rPr>
            </w:pPr>
            <w:r>
              <w:rPr>
                <w:rFonts w:asciiTheme="minorEastAsia" w:hAnsiTheme="minorEastAsia" w:eastAsiaTheme="minorEastAsia" w:cstheme="minorEastAsia"/>
                <w:color w:val="000000"/>
                <w:kern w:val="0"/>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84" w:hRule="atLeast"/>
          <w:jc w:val="center"/>
        </w:trPr>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社会公众或服务对象满意度</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90%（含）以上计6分；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80%（含）-90%，计4分；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70%（含）-80%，计2分；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低于70%计0分。</w:t>
            </w:r>
          </w:p>
        </w:tc>
        <w:tc>
          <w:tcPr>
            <w:tcW w:w="2508"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社会公众或服务对象是指部门（单位）履行职责而影响到的部门、群体或个人，一般采取社会调查的方式。</w:t>
            </w:r>
          </w:p>
        </w:tc>
        <w:tc>
          <w:tcPr>
            <w:tcW w:w="760" w:type="dxa"/>
            <w:tcBorders>
              <w:tl2br w:val="nil"/>
              <w:tr2bl w:val="nil"/>
            </w:tcBorders>
            <w:vAlign w:val="center"/>
          </w:tcPr>
          <w:p>
            <w:pPr>
              <w:spacing w:line="280" w:lineRule="exact"/>
              <w:jc w:val="left"/>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　</w:t>
            </w:r>
            <w:r>
              <w:rPr>
                <w:rFonts w:asciiTheme="minorEastAsia" w:hAnsiTheme="minorEastAsia" w:eastAsiaTheme="minorEastAsia" w:cstheme="minorEastAsia"/>
                <w:kern w:val="0"/>
                <w:sz w:val="18"/>
                <w:szCs w:val="18"/>
              </w:rPr>
              <w:t>6</w:t>
            </w:r>
            <w:r>
              <w:rPr>
                <w:rFonts w:hint="eastAsia" w:asciiTheme="minorEastAsia" w:hAnsiTheme="minorEastAsia" w:eastAsiaTheme="minorEastAsia" w:cstheme="minorEastAsia"/>
                <w:kern w:val="0"/>
                <w:sz w:val="18"/>
                <w:szCs w:val="18"/>
                <w:shd w:val="clear" w:color="auto" w:fill="FFFFFF"/>
              </w:rPr>
              <w:fldChar w:fldCharType="begin">
                <w:fldData xml:space="preserve">QgAzADUAMgBGADUAMgBDADkAMAAzADAANAA1ADMAOABCADAARgA0ADAANAA5AEEAOQA0AEUAMgA0
ADQARQAxAA==
</w:fldData>
              </w:fldChar>
            </w:r>
            <w:r>
              <w:rPr>
                <w:rFonts w:hint="eastAsia" w:asciiTheme="minorEastAsia" w:hAnsiTheme="minorEastAsia" w:eastAsiaTheme="minorEastAsia" w:cstheme="minorEastAsia"/>
                <w:kern w:val="0"/>
                <w:sz w:val="18"/>
                <w:szCs w:val="18"/>
                <w:shd w:val="clear" w:color="auto" w:fill="FFFFFF"/>
              </w:rPr>
              <w:instrText xml:space="preserve">Addin PF16</w:instrText>
            </w:r>
            <w:r>
              <w:rPr>
                <w:rFonts w:hint="eastAsia" w:asciiTheme="minorEastAsia" w:hAnsiTheme="minorEastAsia" w:eastAsiaTheme="minorEastAsia" w:cstheme="minorEastAsia"/>
                <w:kern w:val="0"/>
                <w:sz w:val="18"/>
                <w:szCs w:val="18"/>
                <w:shd w:val="clear" w:color="auto" w:fill="FFFFFF"/>
              </w:rPr>
              <w:fldChar w:fldCharType="end"/>
            </w:r>
          </w:p>
        </w:tc>
      </w:tr>
    </w:tbl>
    <w:p>
      <w:pPr>
        <w:spacing w:line="600" w:lineRule="exact"/>
        <w:rPr>
          <w:rFonts w:ascii="Times New Roman" w:hAnsi="Times New Roman" w:eastAsia="黑体"/>
        </w:rPr>
      </w:pPr>
      <w:r>
        <w:rPr>
          <w:rFonts w:hint="eastAsia" w:ascii="Times New Roman" w:hAnsi="Times New Roman" w:eastAsia="黑体"/>
        </w:rPr>
        <w:t>附件3</w:t>
      </w:r>
    </w:p>
    <w:p>
      <w:pPr>
        <w:spacing w:line="600" w:lineRule="exact"/>
        <w:rPr>
          <w:rFonts w:ascii="Times New Roman" w:hAnsi="Times New Roman" w:eastAsia="黑体"/>
        </w:rPr>
      </w:pPr>
    </w:p>
    <w:p>
      <w:pPr>
        <w:spacing w:line="600" w:lineRule="exact"/>
        <w:jc w:val="center"/>
        <w:rPr>
          <w:rFonts w:ascii="方正小标宋简体" w:hAnsi="方正小标宋_GBK" w:eastAsia="方正小标宋简体" w:cs="方正小标宋_GBK"/>
          <w:sz w:val="44"/>
          <w:szCs w:val="44"/>
        </w:rPr>
      </w:pPr>
      <w:r>
        <w:rPr>
          <w:rFonts w:hint="eastAsia" w:ascii="方正小标宋简体" w:hAnsi="仿宋" w:eastAsia="方正小标宋简体" w:cs="仿宋"/>
          <w:sz w:val="44"/>
          <w:szCs w:val="44"/>
        </w:rPr>
        <w:t>2020</w:t>
      </w:r>
      <w:r>
        <w:rPr>
          <w:rFonts w:hint="eastAsia" w:ascii="方正小标宋简体" w:hAnsi="方正小标宋_GBK" w:eastAsia="方正小标宋简体" w:cs="方正小标宋_GBK"/>
          <w:sz w:val="44"/>
          <w:szCs w:val="44"/>
        </w:rPr>
        <w:t>年度</w:t>
      </w:r>
      <w:r>
        <w:rPr>
          <w:rFonts w:hint="eastAsia" w:eastAsia="方正小标宋简体" w:cs="方正小标宋_GBK" w:asciiTheme="minorHAnsi" w:hAnsiTheme="minorHAnsi"/>
          <w:sz w:val="44"/>
          <w:szCs w:val="44"/>
        </w:rPr>
        <w:t>区残联</w:t>
      </w:r>
      <w:r>
        <w:rPr>
          <w:rFonts w:hint="eastAsia" w:ascii="方正小标宋简体" w:hAnsi="方正小标宋_GBK" w:eastAsia="方正小标宋简体" w:cs="方正小标宋_GBK"/>
          <w:sz w:val="44"/>
          <w:szCs w:val="44"/>
        </w:rPr>
        <w:t>部门整体支出预算</w:t>
      </w:r>
    </w:p>
    <w:p>
      <w:pPr>
        <w:spacing w:line="60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绩效</w:t>
      </w:r>
      <w:r>
        <w:rPr>
          <w:rFonts w:hint="eastAsia" w:ascii="方正小标宋简体" w:hAnsi="Times New Roman" w:eastAsia="方正小标宋简体"/>
          <w:sz w:val="44"/>
          <w:szCs w:val="44"/>
        </w:rPr>
        <w:t>自评报告</w:t>
      </w:r>
    </w:p>
    <w:p>
      <w:pPr>
        <w:spacing w:line="600" w:lineRule="exact"/>
        <w:ind w:firstLine="640" w:firstLineChars="200"/>
        <w:rPr>
          <w:rFonts w:ascii="Times New Roman" w:hAnsi="Times New Roman" w:eastAsia="黑体"/>
        </w:rPr>
      </w:pPr>
    </w:p>
    <w:p>
      <w:pPr>
        <w:spacing w:line="600" w:lineRule="exact"/>
        <w:ind w:firstLine="640" w:firstLineChars="200"/>
        <w:rPr>
          <w:rFonts w:ascii="Times New Roman" w:hAnsi="Times New Roman" w:eastAsia="黑体"/>
        </w:rPr>
      </w:pPr>
      <w:r>
        <w:rPr>
          <w:rFonts w:ascii="Times New Roman" w:hAnsi="Times New Roman" w:eastAsia="黑体"/>
        </w:rPr>
        <w:t>一、</w:t>
      </w:r>
      <w:r>
        <w:rPr>
          <w:rFonts w:hint="eastAsia" w:ascii="Times New Roman" w:hAnsi="Times New Roman" w:eastAsia="黑体"/>
        </w:rPr>
        <w:t>部门基本情况</w:t>
      </w:r>
    </w:p>
    <w:p>
      <w:pPr>
        <w:spacing w:line="560" w:lineRule="exact"/>
        <w:ind w:firstLine="643" w:firstLineChars="200"/>
        <w:rPr>
          <w:rFonts w:ascii="楷体_GB2312" w:eastAsia="楷体_GB2312"/>
          <w:b/>
        </w:rPr>
      </w:pPr>
      <w:r>
        <w:rPr>
          <w:rFonts w:hint="eastAsia" w:ascii="楷体_GB2312" w:eastAsia="楷体_GB2312"/>
          <w:b/>
        </w:rPr>
        <w:t xml:space="preserve">(一)机构、人员构成 </w:t>
      </w:r>
    </w:p>
    <w:p>
      <w:pPr>
        <w:widowControl/>
        <w:spacing w:line="560" w:lineRule="exact"/>
        <w:ind w:firstLine="627" w:firstLineChars="196"/>
      </w:pPr>
      <w:r>
        <w:rPr>
          <w:rFonts w:hint="eastAsia"/>
        </w:rPr>
        <w:t>望城区残疾人联合会是全区残疾人代表组织和主管残疾人工作的直属正科级群团组织，业务上接受上级残联和区政府有关部门的对口指导。20</w:t>
      </w:r>
      <w:r>
        <w:t>20</w:t>
      </w:r>
      <w:r>
        <w:rPr>
          <w:rFonts w:hint="eastAsia"/>
        </w:rPr>
        <w:t>年，全年实有在编人员</w:t>
      </w:r>
      <w:r>
        <w:t>8</w:t>
      </w:r>
      <w:r>
        <w:rPr>
          <w:rFonts w:hint="eastAsia"/>
        </w:rPr>
        <w:t>人，聘用劳务派遣人员6人，</w:t>
      </w:r>
      <w:r>
        <w:rPr>
          <w:rFonts w:hint="eastAsia" w:asciiTheme="minorHAnsi" w:hAnsiTheme="minorHAnsi"/>
        </w:rPr>
        <w:t>合同制退役士官</w:t>
      </w:r>
      <w:r>
        <w:rPr>
          <w:rFonts w:hint="eastAsia"/>
        </w:rPr>
        <w:t>1人，退休1人。</w:t>
      </w:r>
    </w:p>
    <w:p>
      <w:pPr>
        <w:spacing w:line="560" w:lineRule="exact"/>
        <w:ind w:firstLine="643" w:firstLineChars="200"/>
        <w:rPr>
          <w:rFonts w:ascii="楷体_GB2312" w:eastAsia="楷体_GB2312"/>
          <w:b/>
        </w:rPr>
      </w:pPr>
      <w:r>
        <w:rPr>
          <w:rFonts w:hint="eastAsia" w:ascii="楷体_GB2312" w:eastAsia="楷体_GB2312"/>
          <w:b/>
        </w:rPr>
        <w:t>(二)单位主要职责</w:t>
      </w:r>
    </w:p>
    <w:p>
      <w:pPr>
        <w:widowControl/>
        <w:spacing w:line="560" w:lineRule="exact"/>
        <w:ind w:firstLine="627" w:firstLineChars="196"/>
      </w:pPr>
      <w:r>
        <w:rPr>
          <w:rFonts w:hint="eastAsia"/>
        </w:rPr>
        <w:t>贯彻执行党和国家有关残疾人工作的方针、政策；配合有关部门起草有关发展残疾人事业的规范性文件；协助政府研究制定我区残疾人事业发展规划、计划。听取残疾人意见，反映残疾人需求，维护残疾人权益，为残疾人服务。开展和促进残疾人康复、教育、劳动就业、文化、体育、用品供应、福利、残疾预防等工作，创造良好的环境和条件，扶助残疾人平等参与社会生活。团结、教育残疾人遵守法律，履行应尽的义务，发扬乐观进取精神，自尊、自信、自强、自立，为社会主义建设作出贡献。沟通政府、社会与残疾人之间的联系，大力开展宣传活动，维护残疾人合法权益，动员社会理解、尊重、关心、帮助残疾人。承担区人民政府残疾人工作委员会的日常工作。指导和管理各类残疾人社团组织。指导街镇残联的业务工作。承担区委、区政府和上级残联交办的其他工作。</w:t>
      </w:r>
    </w:p>
    <w:p>
      <w:pPr>
        <w:spacing w:line="600" w:lineRule="exact"/>
        <w:ind w:firstLine="640" w:firstLineChars="200"/>
        <w:rPr>
          <w:rFonts w:ascii="Times New Roman" w:hAnsi="Times New Roman" w:eastAsia="黑体"/>
        </w:rPr>
      </w:pPr>
      <w:r>
        <w:rPr>
          <w:rFonts w:ascii="Times New Roman" w:hAnsi="Times New Roman" w:eastAsia="黑体"/>
        </w:rPr>
        <w:t>二、</w:t>
      </w:r>
      <w:r>
        <w:rPr>
          <w:rFonts w:hint="eastAsia" w:ascii="Times New Roman" w:hAnsi="Times New Roman" w:eastAsia="黑体"/>
        </w:rPr>
        <w:t>部门整体预算支出情况</w:t>
      </w:r>
    </w:p>
    <w:p>
      <w:pPr>
        <w:spacing w:line="560" w:lineRule="exact"/>
        <w:ind w:firstLine="643" w:firstLineChars="200"/>
        <w:rPr>
          <w:rFonts w:ascii="楷体_GB2312" w:eastAsia="楷体_GB2312"/>
          <w:b/>
        </w:rPr>
      </w:pPr>
      <w:r>
        <w:rPr>
          <w:rFonts w:hint="eastAsia" w:ascii="楷体_GB2312" w:eastAsia="楷体_GB2312"/>
          <w:b/>
        </w:rPr>
        <w:t>(一)基本支出情况</w:t>
      </w:r>
    </w:p>
    <w:p>
      <w:pPr>
        <w:spacing w:line="560" w:lineRule="exact"/>
        <w:ind w:firstLine="640" w:firstLineChars="200"/>
        <w:rPr>
          <w:rFonts w:asciiTheme="minorHAnsi" w:hAnsiTheme="minorHAnsi"/>
        </w:rPr>
      </w:pPr>
      <w:r>
        <w:rPr>
          <w:rFonts w:hint="eastAsia"/>
        </w:rPr>
        <w:t>2020年初部门预算收入为1237.49万元，全部</w:t>
      </w:r>
      <w:r>
        <w:rPr>
          <w:rFonts w:hint="eastAsia" w:hAnsi="仿宋"/>
        </w:rPr>
        <w:t>一般公共预算财政拨款收入。</w:t>
      </w:r>
      <w:r>
        <w:rPr>
          <w:rFonts w:hint="eastAsia"/>
        </w:rPr>
        <w:t>2020年初部门预算支出为1237.49万元，其中，基本支出</w:t>
      </w:r>
      <w:r>
        <w:rPr>
          <w:rFonts w:hint="eastAsia" w:hAnsi="仿宋"/>
        </w:rPr>
        <w:t>202.49万元，项目支出1035万元</w:t>
      </w:r>
      <w:r>
        <w:rPr>
          <w:rFonts w:hint="eastAsia"/>
        </w:rPr>
        <w:t xml:space="preserve">。 </w:t>
      </w:r>
    </w:p>
    <w:p>
      <w:pPr>
        <w:spacing w:line="560" w:lineRule="exact"/>
        <w:ind w:firstLine="643" w:firstLineChars="200"/>
        <w:rPr>
          <w:rFonts w:ascii="楷体_GB2312" w:eastAsia="楷体_GB2312"/>
          <w:b/>
        </w:rPr>
      </w:pPr>
      <w:r>
        <w:rPr>
          <w:rFonts w:hint="eastAsia" w:ascii="楷体_GB2312" w:eastAsia="楷体_GB2312"/>
          <w:b/>
        </w:rPr>
        <w:t xml:space="preserve"> (二)项目支出情况</w:t>
      </w:r>
      <w:r>
        <w:rPr>
          <w:rFonts w:hint="eastAsia"/>
          <w:b/>
        </w:rPr>
        <w:t xml:space="preserve"> </w:t>
      </w:r>
    </w:p>
    <w:p>
      <w:pPr>
        <w:spacing w:line="560" w:lineRule="exact"/>
        <w:ind w:firstLine="640" w:firstLineChars="200"/>
      </w:pPr>
      <w:r>
        <w:rPr>
          <w:rFonts w:hint="eastAsia" w:hAnsi="仿宋"/>
        </w:rPr>
        <w:t>2020年共收入2420.65万元，其中一般公共预算财政拨款收入2106.25万元，政府性基金预算财政拨款314.40万元；</w:t>
      </w:r>
      <w:r>
        <w:rPr>
          <w:rFonts w:hint="eastAsia"/>
        </w:rPr>
        <w:t>2020年度支出决算数2420.65万元，其中基本支出</w:t>
      </w:r>
      <w:r>
        <w:rPr>
          <w:rFonts w:hint="eastAsia" w:hAnsi="仿宋"/>
        </w:rPr>
        <w:t>212.91万元，项目支出2207.74万元</w:t>
      </w:r>
      <w:r>
        <w:rPr>
          <w:rFonts w:hint="eastAsia"/>
        </w:rPr>
        <w:t>。决算资金超预算是因为上级配套资金1082.99万元未纳入本级年初预算。</w:t>
      </w:r>
    </w:p>
    <w:p>
      <w:pPr>
        <w:spacing w:line="560" w:lineRule="exact"/>
        <w:ind w:firstLine="640" w:firstLineChars="200"/>
      </w:pPr>
      <w:r>
        <w:rPr>
          <w:rFonts w:hint="eastAsia"/>
        </w:rPr>
        <w:t>一方面：2020年度“一户多残”补助应补尽补，受助人员增加，资金据实保障导致在原300万元预算基础上增加31.51万元；2020年度“残疾人事业补助专项”本级投入为645万元，上级投入为1082.99万元。</w:t>
      </w:r>
    </w:p>
    <w:p>
      <w:pPr>
        <w:spacing w:line="560" w:lineRule="exact"/>
        <w:ind w:firstLine="640" w:firstLineChars="200"/>
      </w:pPr>
      <w:r>
        <w:rPr>
          <w:rFonts w:hint="eastAsia"/>
        </w:rPr>
        <w:t>另一方面：筹集资金22.2万元开展春节慰问；配合残疾人脱贫攻坚，积极开展便民评残上门办证工作，追加专项经费58.24万元。</w:t>
      </w:r>
    </w:p>
    <w:p>
      <w:pPr>
        <w:spacing w:line="600" w:lineRule="exact"/>
        <w:ind w:firstLine="640" w:firstLineChars="200"/>
        <w:rPr>
          <w:rFonts w:ascii="Times New Roman" w:hAnsi="Times New Roman" w:eastAsia="黑体"/>
        </w:rPr>
      </w:pPr>
      <w:r>
        <w:rPr>
          <w:rFonts w:hint="eastAsia" w:ascii="Times New Roman" w:hAnsi="Times New Roman" w:eastAsia="黑体"/>
        </w:rPr>
        <w:t>三</w:t>
      </w:r>
      <w:r>
        <w:rPr>
          <w:rFonts w:ascii="Times New Roman" w:hAnsi="Times New Roman" w:eastAsia="黑体"/>
        </w:rPr>
        <w:t>、</w:t>
      </w:r>
      <w:r>
        <w:rPr>
          <w:rFonts w:hint="eastAsia" w:ascii="Times New Roman" w:hAnsi="Times New Roman" w:eastAsia="黑体"/>
        </w:rPr>
        <w:t>部门整体支出绩效情况</w:t>
      </w:r>
    </w:p>
    <w:p>
      <w:pPr>
        <w:spacing w:line="560" w:lineRule="exact"/>
        <w:ind w:firstLine="643" w:firstLineChars="200"/>
        <w:rPr>
          <w:rFonts w:ascii="楷体_GB2312" w:eastAsia="楷体_GB2312"/>
          <w:b/>
        </w:rPr>
      </w:pPr>
      <w:r>
        <w:rPr>
          <w:rFonts w:hint="eastAsia" w:ascii="楷体_GB2312" w:eastAsia="楷体_GB2312"/>
          <w:b/>
        </w:rPr>
        <w:t>（一）预算编制方面</w:t>
      </w:r>
    </w:p>
    <w:p>
      <w:pPr>
        <w:spacing w:line="560" w:lineRule="exact"/>
        <w:ind w:firstLine="480" w:firstLineChars="150"/>
        <w:rPr>
          <w:rFonts w:ascii="楷体_GB2312" w:eastAsia="楷体_GB2312"/>
          <w:b/>
        </w:rPr>
      </w:pPr>
      <w:r>
        <w:rPr>
          <w:rFonts w:hint="eastAsia"/>
        </w:rPr>
        <w:t>以我区残疾人事业发展计划和任务目标为中心，充分考虑部门政策，按照必要性和厉行节约原则做出详细规划，严格执行“二上二下”的基本流程编报部门预算。一是根据财政局要求，提出下年度单位预算编制的基本原则与方法，向各业务部门通报下年度的预算申报工作; 二是各业务部门根据预算年度工作目标和工作计划提出真实、详细的下年度预算申请，专项经费应附支出预算明细；三是财务室对各业务部门的下年度预算申请进行初审与协调，对专项经费逐项进行比对与论证，提出支出项目预算建议数报财政局；四是财务室根据财政局下达的预算控制数，在收支平衡的基础上，结合工作实际进一步核准，编制下一年度预算草案，经党组、理事会审定后报财政局；五是项目支出必须以预算批复额度为基准，不得无预算支出。预算指标下达后，依据批复结果，提出执行申请；六是加强对项目资金的管理，专款专用，保证项目资金按计划、按进度拨付使用，按照规定流程进行政府采购，或投资评审、招投标等，按规定进行竣工验收和合同管理，接受监督；七是加强资产管理，机关资产录入国有资产管理信息系统，每项资产建立了资产卡片，实行动态管理，均按照相关文件和机关内控制度办理相关手续,完成资产清查工作。</w:t>
      </w:r>
      <w:r>
        <w:rPr>
          <w:rFonts w:hint="eastAsia"/>
        </w:rPr>
        <w:br w:type="textWrapping"/>
      </w:r>
      <w:r>
        <w:rPr>
          <w:rFonts w:hint="eastAsia"/>
        </w:rPr>
        <w:t xml:space="preserve">   </w:t>
      </w:r>
      <w:r>
        <w:rPr>
          <w:rFonts w:ascii="楷体_GB2312" w:eastAsia="楷体_GB2312"/>
          <w:b/>
        </w:rPr>
        <w:t>（</w:t>
      </w:r>
      <w:r>
        <w:rPr>
          <w:rFonts w:hint="eastAsia" w:eastAsia="楷体_GB2312" w:asciiTheme="minorHAnsi" w:hAnsiTheme="minorHAnsi"/>
          <w:b/>
        </w:rPr>
        <w:t>二</w:t>
      </w:r>
      <w:r>
        <w:rPr>
          <w:rFonts w:ascii="楷体_GB2312" w:eastAsia="楷体_GB2312"/>
          <w:b/>
        </w:rPr>
        <w:t>）履职完成</w:t>
      </w:r>
      <w:r>
        <w:rPr>
          <w:rFonts w:hint="eastAsia" w:ascii="楷体_GB2312" w:eastAsia="楷体_GB2312"/>
          <w:b/>
        </w:rPr>
        <w:t>方面</w:t>
      </w:r>
    </w:p>
    <w:p>
      <w:pPr>
        <w:spacing w:line="560" w:lineRule="exact"/>
        <w:ind w:firstLine="640" w:firstLineChars="200"/>
        <w:rPr>
          <w:rFonts w:hAnsi="宋体" w:cs="宋体"/>
          <w:color w:val="111111"/>
          <w:kern w:val="0"/>
        </w:rPr>
      </w:pPr>
      <w:r>
        <w:rPr>
          <w:rFonts w:hint="eastAsia" w:hAnsi="宋体" w:cs="宋体"/>
          <w:color w:val="111111"/>
          <w:kern w:val="0"/>
        </w:rPr>
        <w:t>1.完成残疾人创业扶持。任务数为15人，实际完成16人，完成率106.67%；</w:t>
      </w:r>
    </w:p>
    <w:p>
      <w:pPr>
        <w:spacing w:line="560" w:lineRule="exact"/>
        <w:ind w:firstLine="640" w:firstLineChars="200"/>
        <w:rPr>
          <w:rFonts w:hAnsi="宋体" w:cs="宋体"/>
          <w:color w:val="111111"/>
          <w:kern w:val="0"/>
        </w:rPr>
      </w:pPr>
      <w:r>
        <w:rPr>
          <w:rFonts w:hint="eastAsia" w:hAnsi="宋体" w:cs="宋体"/>
          <w:color w:val="111111"/>
          <w:kern w:val="0"/>
        </w:rPr>
        <w:t>2.完成扶残助学任务。任务数为260人，实际完成594人，完成率228.46%；</w:t>
      </w:r>
    </w:p>
    <w:p>
      <w:pPr>
        <w:spacing w:line="560" w:lineRule="exact"/>
        <w:ind w:firstLine="640" w:firstLineChars="200"/>
        <w:rPr>
          <w:rFonts w:hAnsi="宋体" w:cs="宋体"/>
          <w:color w:val="111111"/>
          <w:kern w:val="0"/>
        </w:rPr>
      </w:pPr>
      <w:r>
        <w:rPr>
          <w:rFonts w:hint="eastAsia" w:hAnsi="宋体" w:cs="宋体"/>
          <w:color w:val="111111"/>
          <w:kern w:val="0"/>
        </w:rPr>
        <w:t>3.积极开展残疾人慰问。任务数为650人，实际完成1020人，完成率156.92%；</w:t>
      </w:r>
    </w:p>
    <w:p>
      <w:pPr>
        <w:spacing w:line="560" w:lineRule="exact"/>
        <w:ind w:firstLine="640" w:firstLineChars="200"/>
        <w:rPr>
          <w:rFonts w:cs="宋体" w:asciiTheme="minorHAnsi" w:hAnsiTheme="minorHAnsi"/>
          <w:color w:val="111111"/>
          <w:kern w:val="0"/>
        </w:rPr>
      </w:pPr>
      <w:r>
        <w:rPr>
          <w:rFonts w:hint="eastAsia" w:hAnsi="宋体" w:cs="宋体"/>
          <w:color w:val="111111"/>
          <w:kern w:val="0"/>
        </w:rPr>
        <w:t>4.完成辅具适配工作。任务数为310人，实际完成429人，完成率138.39%。</w:t>
      </w:r>
    </w:p>
    <w:p>
      <w:pPr>
        <w:snapToGrid w:val="0"/>
        <w:spacing w:line="560" w:lineRule="exact"/>
        <w:ind w:firstLine="640" w:firstLineChars="200"/>
        <w:rPr>
          <w:rFonts w:hAnsi="仿宋"/>
        </w:rPr>
      </w:pPr>
      <w:r>
        <w:rPr>
          <w:rFonts w:hint="eastAsia" w:hAnsi="仿宋"/>
        </w:rPr>
        <w:t>5.</w:t>
      </w:r>
      <w:r>
        <w:rPr>
          <w:rFonts w:hint="eastAsia"/>
        </w:rPr>
        <w:t>全年为1226户“一户多残”家庭发放补助金，实现应补尽补；</w:t>
      </w:r>
    </w:p>
    <w:p>
      <w:pPr>
        <w:spacing w:line="560" w:lineRule="exact"/>
        <w:ind w:firstLine="640" w:firstLineChars="200"/>
      </w:pPr>
      <w:r>
        <w:rPr>
          <w:rFonts w:hint="eastAsia" w:hAnsiTheme="minorHAnsi"/>
        </w:rPr>
        <w:t>6.</w:t>
      </w:r>
      <w:r>
        <w:rPr>
          <w:rFonts w:hint="eastAsia"/>
        </w:rPr>
        <w:t>残疾人居家托养任务数120人，完成任务100%。；</w:t>
      </w:r>
    </w:p>
    <w:p>
      <w:pPr>
        <w:spacing w:line="560" w:lineRule="exact"/>
        <w:ind w:firstLine="640" w:firstLineChars="200"/>
      </w:pPr>
      <w:r>
        <w:rPr>
          <w:rFonts w:hint="eastAsia" w:hAnsiTheme="minorHAnsi"/>
        </w:rPr>
        <w:t>7.</w:t>
      </w:r>
      <w:r>
        <w:rPr>
          <w:rFonts w:hint="eastAsia"/>
        </w:rPr>
        <w:t xml:space="preserve">残疾人家庭无障碍改造385户，完成任务100%； </w:t>
      </w:r>
    </w:p>
    <w:p>
      <w:pPr>
        <w:spacing w:line="600" w:lineRule="exact"/>
        <w:ind w:firstLine="640" w:firstLineChars="200"/>
        <w:rPr>
          <w:rFonts w:hAnsi="Times New Roman"/>
        </w:rPr>
      </w:pPr>
      <w:r>
        <w:rPr>
          <w:rFonts w:hint="eastAsia" w:hAnsiTheme="minorHAnsi"/>
        </w:rPr>
        <w:t>8.</w:t>
      </w:r>
      <w:r>
        <w:rPr>
          <w:rFonts w:hint="eastAsia"/>
        </w:rPr>
        <w:t>光明关爱工程惠及人数为142人，完成任务142%。</w:t>
      </w:r>
    </w:p>
    <w:p>
      <w:pPr>
        <w:spacing w:line="600" w:lineRule="exact"/>
        <w:ind w:firstLine="482" w:firstLineChars="150"/>
        <w:rPr>
          <w:rFonts w:ascii="楷体_GB2312" w:eastAsia="楷体_GB2312"/>
          <w:b/>
        </w:rPr>
      </w:pPr>
      <w:r>
        <w:rPr>
          <w:rFonts w:ascii="楷体_GB2312" w:eastAsia="楷体_GB2312"/>
          <w:b/>
        </w:rPr>
        <w:t>（</w:t>
      </w:r>
      <w:r>
        <w:rPr>
          <w:rFonts w:hint="eastAsia" w:ascii="楷体_GB2312" w:eastAsia="楷体_GB2312"/>
          <w:b/>
        </w:rPr>
        <w:t>三</w:t>
      </w:r>
      <w:r>
        <w:rPr>
          <w:rFonts w:ascii="楷体_GB2312" w:eastAsia="楷体_GB2312"/>
          <w:b/>
        </w:rPr>
        <w:t>）履职效果情况</w:t>
      </w:r>
    </w:p>
    <w:p>
      <w:pPr>
        <w:spacing w:line="560" w:lineRule="exact"/>
        <w:ind w:firstLine="640" w:firstLineChars="200"/>
      </w:pPr>
      <w:r>
        <w:rPr>
          <w:rFonts w:hint="eastAsia"/>
        </w:rPr>
        <w:t>1.经济效益:</w:t>
      </w:r>
      <w:r>
        <w:t xml:space="preserve"> 提升残疾人参与社会生活的能力</w:t>
      </w:r>
      <w:r>
        <w:rPr>
          <w:rFonts w:hint="eastAsia"/>
        </w:rPr>
        <w:t>，</w:t>
      </w:r>
      <w:r>
        <w:t>残疾人满意，</w:t>
      </w:r>
      <w:r>
        <w:rPr>
          <w:rFonts w:hint="eastAsia"/>
        </w:rPr>
        <w:t>努力扩大残疾人受益面，提升残疾人满意度；</w:t>
      </w:r>
    </w:p>
    <w:p>
      <w:pPr>
        <w:spacing w:line="560" w:lineRule="exact"/>
        <w:ind w:firstLine="640" w:firstLineChars="200"/>
      </w:pPr>
      <w:r>
        <w:rPr>
          <w:rFonts w:hint="eastAsia"/>
        </w:rPr>
        <w:t>2.社会效益:贫困残疾人数下降，残疾人创业任务完成率100%，政策知晓度大于等于95%，基本康复服务面扩大至85%；</w:t>
      </w:r>
    </w:p>
    <w:p>
      <w:pPr>
        <w:spacing w:line="600" w:lineRule="exact"/>
        <w:ind w:firstLine="640" w:firstLineChars="200"/>
        <w:rPr>
          <w:rFonts w:ascii="Times New Roman" w:hAnsi="Times New Roman"/>
        </w:rPr>
      </w:pPr>
      <w:r>
        <w:rPr>
          <w:rFonts w:hint="eastAsia"/>
        </w:rPr>
        <w:t>3.可持续影响:提高残疾人社会接纳度，扶残助残构建和谐社会；</w:t>
      </w:r>
    </w:p>
    <w:p>
      <w:pPr>
        <w:spacing w:line="600" w:lineRule="exact"/>
        <w:ind w:firstLine="482" w:firstLineChars="150"/>
        <w:rPr>
          <w:rFonts w:ascii="楷体_GB2312" w:eastAsia="楷体_GB2312"/>
          <w:b/>
        </w:rPr>
      </w:pPr>
      <w:r>
        <w:rPr>
          <w:rFonts w:ascii="楷体_GB2312" w:eastAsia="楷体_GB2312"/>
          <w:b/>
        </w:rPr>
        <w:t>（</w:t>
      </w:r>
      <w:r>
        <w:rPr>
          <w:rFonts w:hint="eastAsia" w:ascii="楷体_GB2312" w:eastAsia="楷体_GB2312"/>
          <w:b/>
        </w:rPr>
        <w:t>四</w:t>
      </w:r>
      <w:r>
        <w:rPr>
          <w:rFonts w:ascii="楷体_GB2312" w:eastAsia="楷体_GB2312"/>
          <w:b/>
        </w:rPr>
        <w:t>）社会满意度情况</w:t>
      </w:r>
    </w:p>
    <w:p>
      <w:pPr>
        <w:spacing w:line="560" w:lineRule="exact"/>
        <w:ind w:firstLine="640" w:firstLineChars="200"/>
      </w:pPr>
      <w:r>
        <w:rPr>
          <w:rFonts w:hint="eastAsia"/>
        </w:rPr>
        <w:t>受助残疾人满意度大于等于95%。</w:t>
      </w:r>
    </w:p>
    <w:p>
      <w:pPr>
        <w:spacing w:line="600" w:lineRule="exact"/>
        <w:ind w:firstLine="640" w:firstLineChars="200"/>
        <w:rPr>
          <w:rFonts w:ascii="Times New Roman" w:hAnsi="Times New Roman" w:eastAsia="黑体"/>
        </w:rPr>
      </w:pPr>
      <w:r>
        <w:rPr>
          <w:rFonts w:hint="eastAsia" w:ascii="Times New Roman" w:hAnsi="Times New Roman" w:eastAsia="黑体"/>
        </w:rPr>
        <w:t>四</w:t>
      </w:r>
      <w:r>
        <w:rPr>
          <w:rFonts w:ascii="Times New Roman" w:hAnsi="Times New Roman" w:eastAsia="黑体"/>
        </w:rPr>
        <w:t>、存在问题及</w:t>
      </w:r>
      <w:r>
        <w:rPr>
          <w:rFonts w:hint="eastAsia" w:ascii="Times New Roman" w:hAnsi="Times New Roman" w:eastAsia="黑体"/>
        </w:rPr>
        <w:t>原因分析</w:t>
      </w:r>
    </w:p>
    <w:p>
      <w:pPr>
        <w:spacing w:line="560" w:lineRule="exact"/>
        <w:ind w:firstLine="640" w:firstLineChars="200"/>
      </w:pPr>
      <w:r>
        <w:rPr>
          <w:rFonts w:hint="eastAsia"/>
        </w:rPr>
        <w:t xml:space="preserve">1.对于目标设定需要分业务部门分解，汇总后制定整体 目标。目标设定后如何科学设定考核评价标准，特别是对于不能量化的目标如何评价。 </w:t>
      </w:r>
    </w:p>
    <w:p>
      <w:pPr>
        <w:spacing w:line="560" w:lineRule="exact"/>
        <w:ind w:firstLine="640" w:firstLineChars="200"/>
      </w:pPr>
      <w:r>
        <w:rPr>
          <w:rFonts w:hint="eastAsia"/>
        </w:rPr>
        <w:t xml:space="preserve">2.部门整体支出业务工作分项需更加清晰，不能很好的对比支出与成果，投入与产出效果，进而很难有针对性的发现问题，分析问题，提出解决方案。 </w:t>
      </w:r>
    </w:p>
    <w:p>
      <w:pPr>
        <w:spacing w:line="600" w:lineRule="exact"/>
        <w:ind w:firstLine="640" w:firstLineChars="200"/>
      </w:pPr>
      <w:r>
        <w:rPr>
          <w:rFonts w:hint="eastAsia"/>
        </w:rPr>
        <w:t>3.个别项目应补尽补或提标扩面，导致追加资金，无法准确预计。</w:t>
      </w:r>
    </w:p>
    <w:p>
      <w:pPr>
        <w:spacing w:line="600" w:lineRule="exact"/>
        <w:ind w:firstLine="640" w:firstLineChars="200"/>
      </w:pPr>
      <w:r>
        <w:rPr>
          <w:rFonts w:hint="eastAsia"/>
        </w:rPr>
        <w:t>4.财务管理方面，会计核算还不够细致，对于有些能够细分的工作，未能详细分类核算，绩效评价基础数据不够精确。</w:t>
      </w:r>
    </w:p>
    <w:p>
      <w:pPr>
        <w:spacing w:line="600" w:lineRule="exact"/>
        <w:ind w:firstLine="640" w:firstLineChars="200"/>
        <w:rPr>
          <w:rFonts w:ascii="Times New Roman" w:hAnsi="Times New Roman" w:eastAsia="黑体"/>
        </w:rPr>
      </w:pPr>
      <w:r>
        <w:rPr>
          <w:rFonts w:hint="eastAsia" w:ascii="Times New Roman" w:hAnsi="Times New Roman" w:eastAsia="黑体"/>
        </w:rPr>
        <w:t>五、</w:t>
      </w:r>
      <w:r>
        <w:rPr>
          <w:rFonts w:ascii="Times New Roman" w:hAnsi="Times New Roman" w:eastAsia="黑体"/>
        </w:rPr>
        <w:t>改进措施</w:t>
      </w:r>
    </w:p>
    <w:p>
      <w:pPr>
        <w:spacing w:line="560" w:lineRule="exact"/>
        <w:ind w:firstLine="640" w:firstLineChars="200"/>
      </w:pPr>
      <w:r>
        <w:rPr>
          <w:rFonts w:hint="eastAsia"/>
        </w:rPr>
        <w:t xml:space="preserve">1.学习如何科学合理制定绩效目标及考核体系，充分发 挥绩效工作效用。 </w:t>
      </w:r>
    </w:p>
    <w:p>
      <w:pPr>
        <w:spacing w:line="560" w:lineRule="exact"/>
        <w:ind w:firstLine="640" w:firstLineChars="200"/>
      </w:pPr>
      <w:r>
        <w:rPr>
          <w:rFonts w:hint="eastAsia"/>
        </w:rPr>
        <w:t xml:space="preserve">2.对于能细分、归总的业务工作，效仿专项支出进行管理，以便更好的进行绩效评价，发现不足，提出改进。 </w:t>
      </w:r>
    </w:p>
    <w:p>
      <w:pPr>
        <w:spacing w:line="600" w:lineRule="exact"/>
        <w:ind w:firstLine="640" w:firstLineChars="200"/>
        <w:rPr>
          <w:rFonts w:ascii="Times New Roman" w:hAnsi="Times New Roman"/>
        </w:rPr>
      </w:pPr>
      <w:r>
        <w:rPr>
          <w:rFonts w:hint="eastAsia"/>
        </w:rPr>
        <w:t>3.会计核算要更加详细，为本单位各项工作开展、总结、评估提供有效数据资料支撑，为各项业务工作更好的开展提供帮助。</w:t>
      </w:r>
    </w:p>
    <w:p>
      <w:pPr>
        <w:spacing w:line="600" w:lineRule="exact"/>
        <w:ind w:firstLine="640" w:firstLineChars="200"/>
        <w:rPr>
          <w:rFonts w:ascii="Times New Roman" w:hAnsi="Times New Roman"/>
        </w:rPr>
      </w:pPr>
      <w:r>
        <w:rPr>
          <w:rFonts w:hint="eastAsia" w:ascii="Times New Roman" w:hAnsi="Times New Roman" w:eastAsia="黑体"/>
        </w:rPr>
        <w:t>六</w:t>
      </w:r>
      <w:r>
        <w:rPr>
          <w:rFonts w:ascii="Times New Roman" w:hAnsi="Times New Roman" w:eastAsia="黑体"/>
        </w:rPr>
        <w:t>、其它需要说明的情况</w:t>
      </w:r>
    </w:p>
    <w:tbl>
      <w:tblPr>
        <w:tblStyle w:val="7"/>
        <w:tblW w:w="9080" w:type="dxa"/>
        <w:jc w:val="center"/>
        <w:tblLayout w:type="fixed"/>
        <w:tblCellMar>
          <w:top w:w="0" w:type="dxa"/>
          <w:left w:w="108" w:type="dxa"/>
          <w:bottom w:w="0" w:type="dxa"/>
          <w:right w:w="108" w:type="dxa"/>
        </w:tblCellMar>
      </w:tblPr>
      <w:tblGrid>
        <w:gridCol w:w="9080"/>
      </w:tblGrid>
      <w:tr>
        <w:tblPrEx>
          <w:tblCellMar>
            <w:top w:w="0" w:type="dxa"/>
            <w:left w:w="108" w:type="dxa"/>
            <w:bottom w:w="0" w:type="dxa"/>
            <w:right w:w="108" w:type="dxa"/>
          </w:tblCellMar>
        </w:tblPrEx>
        <w:trPr>
          <w:trHeight w:val="771" w:hRule="exact"/>
          <w:jc w:val="center"/>
        </w:trPr>
        <w:tc>
          <w:tcPr>
            <w:tcW w:w="9080" w:type="dxa"/>
            <w:tcBorders>
              <w:top w:val="nil"/>
              <w:left w:val="nil"/>
              <w:bottom w:val="nil"/>
              <w:right w:val="nil"/>
            </w:tcBorders>
            <w:vAlign w:val="center"/>
          </w:tcPr>
          <w:p>
            <w:pPr>
              <w:widowControl/>
              <w:spacing w:line="240" w:lineRule="auto"/>
              <w:jc w:val="left"/>
              <w:rPr>
                <w:rFonts w:ascii="宋体" w:hAnsi="宋体" w:eastAsia="宋体" w:cs="宋体"/>
                <w:b/>
                <w:bCs/>
                <w:kern w:val="0"/>
              </w:rPr>
            </w:pPr>
            <w:r>
              <w:rPr>
                <w:rFonts w:hint="eastAsia" w:ascii="Times New Roman" w:hAnsi="Times New Roman"/>
              </w:rPr>
              <w:t xml:space="preserve">     无。</w:t>
            </w:r>
          </w:p>
        </w:tc>
      </w:tr>
    </w:tbl>
    <w:p>
      <w:pPr>
        <w:spacing w:line="600" w:lineRule="exact"/>
        <w:rPr>
          <w:rFonts w:ascii="黑体" w:hAnsi="黑体" w:eastAsia="黑体" w:cs="黑体"/>
        </w:rPr>
      </w:pPr>
    </w:p>
    <w:p>
      <w:pPr>
        <w:spacing w:line="620" w:lineRule="exact"/>
        <w:rPr>
          <w:rFonts w:ascii="黑体" w:hAnsi="黑体" w:eastAsia="黑体" w:cs="黑体"/>
          <w:kern w:val="0"/>
        </w:rPr>
      </w:pPr>
    </w:p>
    <w:p>
      <w:pPr>
        <w:spacing w:line="620" w:lineRule="exact"/>
        <w:rPr>
          <w:rFonts w:ascii="黑体" w:hAnsi="黑体" w:eastAsia="黑体" w:cs="黑体"/>
          <w:kern w:val="0"/>
        </w:rPr>
      </w:pPr>
    </w:p>
    <w:p>
      <w:pPr>
        <w:spacing w:line="620" w:lineRule="exact"/>
        <w:rPr>
          <w:rFonts w:ascii="黑体" w:hAnsi="黑体" w:eastAsia="黑体" w:cs="黑体"/>
          <w:kern w:val="0"/>
        </w:rPr>
      </w:pPr>
    </w:p>
    <w:p>
      <w:pPr>
        <w:spacing w:line="620" w:lineRule="exact"/>
        <w:rPr>
          <w:rFonts w:ascii="黑体" w:hAnsi="黑体" w:eastAsia="黑体" w:cs="黑体"/>
          <w:kern w:val="0"/>
        </w:rPr>
      </w:pPr>
    </w:p>
    <w:p>
      <w:pPr>
        <w:spacing w:line="620" w:lineRule="exact"/>
        <w:rPr>
          <w:rFonts w:ascii="黑体" w:hAnsi="黑体" w:eastAsia="黑体" w:cs="黑体"/>
          <w:kern w:val="0"/>
        </w:rPr>
      </w:pPr>
    </w:p>
    <w:p>
      <w:pPr>
        <w:spacing w:line="620" w:lineRule="exact"/>
        <w:rPr>
          <w:rFonts w:ascii="黑体" w:hAnsi="黑体" w:eastAsia="黑体" w:cs="黑体"/>
          <w:kern w:val="0"/>
        </w:rPr>
      </w:pPr>
    </w:p>
    <w:p>
      <w:pPr>
        <w:spacing w:line="620" w:lineRule="exact"/>
        <w:rPr>
          <w:rFonts w:ascii="黑体" w:hAnsi="黑体" w:eastAsia="黑体" w:cs="黑体"/>
          <w:kern w:val="0"/>
        </w:rPr>
      </w:pPr>
    </w:p>
    <w:p>
      <w:pPr>
        <w:spacing w:line="620" w:lineRule="exact"/>
        <w:rPr>
          <w:rFonts w:ascii="黑体" w:hAnsi="黑体" w:eastAsia="黑体" w:cs="黑体"/>
          <w:kern w:val="0"/>
        </w:rPr>
      </w:pPr>
    </w:p>
    <w:sectPr>
      <w:footerReference r:id="rId5" w:type="default"/>
      <w:footerReference r:id="rId6" w:type="even"/>
      <w:pgSz w:w="11906" w:h="16838"/>
      <w:pgMar w:top="1701" w:right="1587" w:bottom="1417" w:left="1701" w:header="851" w:footer="850"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3343425"/>
    </w:sdtPr>
    <w:sdtEndPr>
      <w:rPr>
        <w:rFonts w:hint="eastAsia" w:ascii="仿宋" w:hAnsi="仿宋" w:eastAsia="仿宋" w:cs="仿宋"/>
        <w:sz w:val="28"/>
        <w:szCs w:val="28"/>
      </w:rPr>
    </w:sdtEndPr>
    <w:sdtContent>
      <w:p>
        <w:pPr>
          <w:pStyle w:val="4"/>
          <w:jc w:val="right"/>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7 -</w:t>
        </w:r>
        <w:r>
          <w:rPr>
            <w:rFonts w:hint="eastAsia" w:ascii="仿宋" w:hAnsi="仿宋" w:eastAsia="仿宋" w:cs="仿宋"/>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 w:hAnsi="仿宋" w:eastAsia="仿宋" w:cs="仿宋"/>
        <w:sz w:val="28"/>
        <w:szCs w:val="28"/>
      </w:rPr>
      <w:id w:val="760954067"/>
    </w:sdtPr>
    <w:sdtEndPr>
      <w:rPr>
        <w:rFonts w:hint="eastAsia" w:ascii="仿宋" w:hAnsi="仿宋" w:eastAsia="仿宋" w:cs="仿宋"/>
        <w:sz w:val="28"/>
        <w:szCs w:val="28"/>
      </w:rPr>
    </w:sdtEndPr>
    <w:sdtContent>
      <w:p>
        <w:pPr>
          <w:pStyle w:val="4"/>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8 -</w:t>
        </w:r>
        <w:r>
          <w:rPr>
            <w:rFonts w:hint="eastAsia" w:ascii="仿宋" w:hAnsi="仿宋" w:eastAsia="仿宋" w:cs="仿宋"/>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60"/>
  <w:drawingGridVerticalSpacing w:val="435"/>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47"/>
    <w:rsid w:val="00005D88"/>
    <w:rsid w:val="00006AB9"/>
    <w:rsid w:val="000176BE"/>
    <w:rsid w:val="00017EBD"/>
    <w:rsid w:val="00030E8D"/>
    <w:rsid w:val="0003202C"/>
    <w:rsid w:val="00037C81"/>
    <w:rsid w:val="00042A6F"/>
    <w:rsid w:val="00050733"/>
    <w:rsid w:val="000566B6"/>
    <w:rsid w:val="00057A74"/>
    <w:rsid w:val="00064467"/>
    <w:rsid w:val="0007763D"/>
    <w:rsid w:val="0008243B"/>
    <w:rsid w:val="000877BF"/>
    <w:rsid w:val="00091E7B"/>
    <w:rsid w:val="000B3BBD"/>
    <w:rsid w:val="000D1157"/>
    <w:rsid w:val="000D230F"/>
    <w:rsid w:val="000D4F71"/>
    <w:rsid w:val="000E20BF"/>
    <w:rsid w:val="000F4C17"/>
    <w:rsid w:val="000F547D"/>
    <w:rsid w:val="00100E3D"/>
    <w:rsid w:val="00101C68"/>
    <w:rsid w:val="00103513"/>
    <w:rsid w:val="00106906"/>
    <w:rsid w:val="00111454"/>
    <w:rsid w:val="001126E0"/>
    <w:rsid w:val="00120A50"/>
    <w:rsid w:val="00136EC8"/>
    <w:rsid w:val="00137B40"/>
    <w:rsid w:val="00162D68"/>
    <w:rsid w:val="0016305B"/>
    <w:rsid w:val="00170D2C"/>
    <w:rsid w:val="00173899"/>
    <w:rsid w:val="00180366"/>
    <w:rsid w:val="00181108"/>
    <w:rsid w:val="0018638E"/>
    <w:rsid w:val="00190E73"/>
    <w:rsid w:val="001918FE"/>
    <w:rsid w:val="00191A5D"/>
    <w:rsid w:val="001970E4"/>
    <w:rsid w:val="001974D8"/>
    <w:rsid w:val="001A2888"/>
    <w:rsid w:val="001B53D9"/>
    <w:rsid w:val="001B67CB"/>
    <w:rsid w:val="001B6A3D"/>
    <w:rsid w:val="001C0081"/>
    <w:rsid w:val="001C10FB"/>
    <w:rsid w:val="001E275B"/>
    <w:rsid w:val="001E6B38"/>
    <w:rsid w:val="001F1BB7"/>
    <w:rsid w:val="001F268E"/>
    <w:rsid w:val="001F4FC1"/>
    <w:rsid w:val="001F533B"/>
    <w:rsid w:val="001F591B"/>
    <w:rsid w:val="001F7A6C"/>
    <w:rsid w:val="001F7CD5"/>
    <w:rsid w:val="002100F4"/>
    <w:rsid w:val="0021253D"/>
    <w:rsid w:val="00213E80"/>
    <w:rsid w:val="00216AE0"/>
    <w:rsid w:val="00225B82"/>
    <w:rsid w:val="0022658B"/>
    <w:rsid w:val="002330CA"/>
    <w:rsid w:val="00233DA4"/>
    <w:rsid w:val="00234E27"/>
    <w:rsid w:val="002436E5"/>
    <w:rsid w:val="00245917"/>
    <w:rsid w:val="002507F0"/>
    <w:rsid w:val="00253DE9"/>
    <w:rsid w:val="00260349"/>
    <w:rsid w:val="002603D7"/>
    <w:rsid w:val="00263876"/>
    <w:rsid w:val="00264568"/>
    <w:rsid w:val="0027616B"/>
    <w:rsid w:val="00280F02"/>
    <w:rsid w:val="00281923"/>
    <w:rsid w:val="00283DDC"/>
    <w:rsid w:val="00294D02"/>
    <w:rsid w:val="002A1C9D"/>
    <w:rsid w:val="002A6AED"/>
    <w:rsid w:val="002D1495"/>
    <w:rsid w:val="002D2B17"/>
    <w:rsid w:val="002D3F0B"/>
    <w:rsid w:val="002D6DE6"/>
    <w:rsid w:val="002F0AE0"/>
    <w:rsid w:val="002F4C93"/>
    <w:rsid w:val="002F7238"/>
    <w:rsid w:val="0030366C"/>
    <w:rsid w:val="00303747"/>
    <w:rsid w:val="00304A80"/>
    <w:rsid w:val="00311F5D"/>
    <w:rsid w:val="003202CE"/>
    <w:rsid w:val="00322ADA"/>
    <w:rsid w:val="003232AE"/>
    <w:rsid w:val="00324C1D"/>
    <w:rsid w:val="003370D8"/>
    <w:rsid w:val="003412D2"/>
    <w:rsid w:val="00344F4D"/>
    <w:rsid w:val="00345F10"/>
    <w:rsid w:val="00347B6E"/>
    <w:rsid w:val="00355095"/>
    <w:rsid w:val="0035691A"/>
    <w:rsid w:val="00365CB3"/>
    <w:rsid w:val="003663D1"/>
    <w:rsid w:val="003666BC"/>
    <w:rsid w:val="00366E66"/>
    <w:rsid w:val="0037668D"/>
    <w:rsid w:val="003809B6"/>
    <w:rsid w:val="00382329"/>
    <w:rsid w:val="00392017"/>
    <w:rsid w:val="003935E5"/>
    <w:rsid w:val="003A32AD"/>
    <w:rsid w:val="003C72A6"/>
    <w:rsid w:val="003E2B22"/>
    <w:rsid w:val="003F113C"/>
    <w:rsid w:val="003F52D0"/>
    <w:rsid w:val="00406148"/>
    <w:rsid w:val="00406EF4"/>
    <w:rsid w:val="00413BF7"/>
    <w:rsid w:val="00422A1B"/>
    <w:rsid w:val="004358A4"/>
    <w:rsid w:val="004378B6"/>
    <w:rsid w:val="0044035E"/>
    <w:rsid w:val="00447F69"/>
    <w:rsid w:val="004606A2"/>
    <w:rsid w:val="004679DE"/>
    <w:rsid w:val="004863F6"/>
    <w:rsid w:val="00486AFF"/>
    <w:rsid w:val="00487A6C"/>
    <w:rsid w:val="00490370"/>
    <w:rsid w:val="00490592"/>
    <w:rsid w:val="0049113E"/>
    <w:rsid w:val="004929AD"/>
    <w:rsid w:val="004A559F"/>
    <w:rsid w:val="004B2ED1"/>
    <w:rsid w:val="004C06F3"/>
    <w:rsid w:val="004C0FAE"/>
    <w:rsid w:val="004C37B2"/>
    <w:rsid w:val="004C420F"/>
    <w:rsid w:val="004C4D36"/>
    <w:rsid w:val="004C5DC2"/>
    <w:rsid w:val="004D4A52"/>
    <w:rsid w:val="004D6471"/>
    <w:rsid w:val="004E1BAF"/>
    <w:rsid w:val="004E5E17"/>
    <w:rsid w:val="004F24CD"/>
    <w:rsid w:val="00502C54"/>
    <w:rsid w:val="00515CC4"/>
    <w:rsid w:val="0052051B"/>
    <w:rsid w:val="005362BF"/>
    <w:rsid w:val="005618C4"/>
    <w:rsid w:val="00570BC5"/>
    <w:rsid w:val="0058443C"/>
    <w:rsid w:val="005A2FDD"/>
    <w:rsid w:val="005A3995"/>
    <w:rsid w:val="005A43DF"/>
    <w:rsid w:val="005A7518"/>
    <w:rsid w:val="005B1B1A"/>
    <w:rsid w:val="005B5668"/>
    <w:rsid w:val="005C0F0C"/>
    <w:rsid w:val="005C304E"/>
    <w:rsid w:val="005C424E"/>
    <w:rsid w:val="005D1FF9"/>
    <w:rsid w:val="005D34B9"/>
    <w:rsid w:val="005D6E14"/>
    <w:rsid w:val="005F4A12"/>
    <w:rsid w:val="005F56AF"/>
    <w:rsid w:val="0060178E"/>
    <w:rsid w:val="00603EC7"/>
    <w:rsid w:val="006078F9"/>
    <w:rsid w:val="00610EA6"/>
    <w:rsid w:val="00610F28"/>
    <w:rsid w:val="00620BCE"/>
    <w:rsid w:val="00620E58"/>
    <w:rsid w:val="00621464"/>
    <w:rsid w:val="006270C6"/>
    <w:rsid w:val="006343F2"/>
    <w:rsid w:val="006354FD"/>
    <w:rsid w:val="00641607"/>
    <w:rsid w:val="00656D1E"/>
    <w:rsid w:val="00662C5F"/>
    <w:rsid w:val="00665063"/>
    <w:rsid w:val="006650D7"/>
    <w:rsid w:val="006766CC"/>
    <w:rsid w:val="00676760"/>
    <w:rsid w:val="0067763D"/>
    <w:rsid w:val="00680DDB"/>
    <w:rsid w:val="00683616"/>
    <w:rsid w:val="00685318"/>
    <w:rsid w:val="0068609A"/>
    <w:rsid w:val="00687E50"/>
    <w:rsid w:val="006924C4"/>
    <w:rsid w:val="006936A2"/>
    <w:rsid w:val="006971C6"/>
    <w:rsid w:val="006C0FBF"/>
    <w:rsid w:val="006C695C"/>
    <w:rsid w:val="006D7E4D"/>
    <w:rsid w:val="006F0A44"/>
    <w:rsid w:val="006F5EBB"/>
    <w:rsid w:val="00714C32"/>
    <w:rsid w:val="00717B19"/>
    <w:rsid w:val="007336F9"/>
    <w:rsid w:val="00742C69"/>
    <w:rsid w:val="00744083"/>
    <w:rsid w:val="00766369"/>
    <w:rsid w:val="00771A7F"/>
    <w:rsid w:val="007817CA"/>
    <w:rsid w:val="00781927"/>
    <w:rsid w:val="00783BAD"/>
    <w:rsid w:val="007A02CE"/>
    <w:rsid w:val="007B049D"/>
    <w:rsid w:val="007B1D23"/>
    <w:rsid w:val="007B3CF7"/>
    <w:rsid w:val="007D065C"/>
    <w:rsid w:val="007D60DD"/>
    <w:rsid w:val="007F07A1"/>
    <w:rsid w:val="007F571A"/>
    <w:rsid w:val="007F7A1E"/>
    <w:rsid w:val="0080265E"/>
    <w:rsid w:val="00802DB2"/>
    <w:rsid w:val="00811063"/>
    <w:rsid w:val="00811BE6"/>
    <w:rsid w:val="00815068"/>
    <w:rsid w:val="00816734"/>
    <w:rsid w:val="00822809"/>
    <w:rsid w:val="008255BC"/>
    <w:rsid w:val="008260AF"/>
    <w:rsid w:val="00826CFD"/>
    <w:rsid w:val="00830963"/>
    <w:rsid w:val="00833C3F"/>
    <w:rsid w:val="00834ED6"/>
    <w:rsid w:val="00852409"/>
    <w:rsid w:val="008548AF"/>
    <w:rsid w:val="00856037"/>
    <w:rsid w:val="00873179"/>
    <w:rsid w:val="00873D2D"/>
    <w:rsid w:val="008806F1"/>
    <w:rsid w:val="008821E7"/>
    <w:rsid w:val="0088546F"/>
    <w:rsid w:val="008854AA"/>
    <w:rsid w:val="0089583C"/>
    <w:rsid w:val="008974F6"/>
    <w:rsid w:val="008A4AAA"/>
    <w:rsid w:val="008A7835"/>
    <w:rsid w:val="008B3352"/>
    <w:rsid w:val="008B3442"/>
    <w:rsid w:val="008C5FEB"/>
    <w:rsid w:val="008D1C56"/>
    <w:rsid w:val="008D26E3"/>
    <w:rsid w:val="008D4BA3"/>
    <w:rsid w:val="008E6EF8"/>
    <w:rsid w:val="008F1DF2"/>
    <w:rsid w:val="008F7507"/>
    <w:rsid w:val="008F76DB"/>
    <w:rsid w:val="00904CE8"/>
    <w:rsid w:val="0090716A"/>
    <w:rsid w:val="009223C2"/>
    <w:rsid w:val="00945994"/>
    <w:rsid w:val="0095030E"/>
    <w:rsid w:val="009538C6"/>
    <w:rsid w:val="0095469C"/>
    <w:rsid w:val="00964943"/>
    <w:rsid w:val="00972845"/>
    <w:rsid w:val="009771ED"/>
    <w:rsid w:val="009818E7"/>
    <w:rsid w:val="009A1045"/>
    <w:rsid w:val="009B1115"/>
    <w:rsid w:val="009B1AC1"/>
    <w:rsid w:val="009B24D6"/>
    <w:rsid w:val="009B2C90"/>
    <w:rsid w:val="009B6461"/>
    <w:rsid w:val="009B7757"/>
    <w:rsid w:val="009C141D"/>
    <w:rsid w:val="009C67AB"/>
    <w:rsid w:val="009D1FEA"/>
    <w:rsid w:val="009D37B4"/>
    <w:rsid w:val="009F0B2A"/>
    <w:rsid w:val="009F54C3"/>
    <w:rsid w:val="00A00E85"/>
    <w:rsid w:val="00A17F2F"/>
    <w:rsid w:val="00A21B16"/>
    <w:rsid w:val="00A23802"/>
    <w:rsid w:val="00A24C77"/>
    <w:rsid w:val="00A26751"/>
    <w:rsid w:val="00A3423F"/>
    <w:rsid w:val="00A4221C"/>
    <w:rsid w:val="00A42276"/>
    <w:rsid w:val="00A4258A"/>
    <w:rsid w:val="00A42728"/>
    <w:rsid w:val="00A4662B"/>
    <w:rsid w:val="00A5183F"/>
    <w:rsid w:val="00A57961"/>
    <w:rsid w:val="00A61547"/>
    <w:rsid w:val="00A63BB3"/>
    <w:rsid w:val="00A67D46"/>
    <w:rsid w:val="00A707FD"/>
    <w:rsid w:val="00A87EDF"/>
    <w:rsid w:val="00A923A5"/>
    <w:rsid w:val="00A96639"/>
    <w:rsid w:val="00AA3D07"/>
    <w:rsid w:val="00AA6438"/>
    <w:rsid w:val="00AD08EA"/>
    <w:rsid w:val="00AD2FCB"/>
    <w:rsid w:val="00AD3208"/>
    <w:rsid w:val="00AF6720"/>
    <w:rsid w:val="00B03A1A"/>
    <w:rsid w:val="00B11C48"/>
    <w:rsid w:val="00B136B1"/>
    <w:rsid w:val="00B139F0"/>
    <w:rsid w:val="00B17C46"/>
    <w:rsid w:val="00B40C50"/>
    <w:rsid w:val="00B413F1"/>
    <w:rsid w:val="00B42100"/>
    <w:rsid w:val="00B44886"/>
    <w:rsid w:val="00B47663"/>
    <w:rsid w:val="00B5411E"/>
    <w:rsid w:val="00B55CB9"/>
    <w:rsid w:val="00B56602"/>
    <w:rsid w:val="00B57DE4"/>
    <w:rsid w:val="00B66B16"/>
    <w:rsid w:val="00B66E6A"/>
    <w:rsid w:val="00B76CEA"/>
    <w:rsid w:val="00B873BB"/>
    <w:rsid w:val="00B91775"/>
    <w:rsid w:val="00B91CA0"/>
    <w:rsid w:val="00B9667B"/>
    <w:rsid w:val="00BA7E73"/>
    <w:rsid w:val="00BB2FD1"/>
    <w:rsid w:val="00BB570E"/>
    <w:rsid w:val="00BB646C"/>
    <w:rsid w:val="00BC32B0"/>
    <w:rsid w:val="00BC4FCA"/>
    <w:rsid w:val="00BC7120"/>
    <w:rsid w:val="00BD2424"/>
    <w:rsid w:val="00BD34C8"/>
    <w:rsid w:val="00BE69CE"/>
    <w:rsid w:val="00BF0FDB"/>
    <w:rsid w:val="00BF5D55"/>
    <w:rsid w:val="00C01BC1"/>
    <w:rsid w:val="00C042F4"/>
    <w:rsid w:val="00C31F99"/>
    <w:rsid w:val="00C32312"/>
    <w:rsid w:val="00C42F72"/>
    <w:rsid w:val="00C538D1"/>
    <w:rsid w:val="00C57041"/>
    <w:rsid w:val="00C61D3E"/>
    <w:rsid w:val="00C67322"/>
    <w:rsid w:val="00C67E84"/>
    <w:rsid w:val="00C7000D"/>
    <w:rsid w:val="00C707E7"/>
    <w:rsid w:val="00C76C38"/>
    <w:rsid w:val="00C77E4D"/>
    <w:rsid w:val="00C805C6"/>
    <w:rsid w:val="00C8219D"/>
    <w:rsid w:val="00C93739"/>
    <w:rsid w:val="00C96DCC"/>
    <w:rsid w:val="00CB004E"/>
    <w:rsid w:val="00CB2E95"/>
    <w:rsid w:val="00CB56B4"/>
    <w:rsid w:val="00CB6E34"/>
    <w:rsid w:val="00CC19B8"/>
    <w:rsid w:val="00CC2D70"/>
    <w:rsid w:val="00CC560F"/>
    <w:rsid w:val="00CC65E0"/>
    <w:rsid w:val="00CD141B"/>
    <w:rsid w:val="00CD55A8"/>
    <w:rsid w:val="00CE1DB6"/>
    <w:rsid w:val="00CF32B5"/>
    <w:rsid w:val="00CF5DB6"/>
    <w:rsid w:val="00CF666C"/>
    <w:rsid w:val="00D0168B"/>
    <w:rsid w:val="00D039C0"/>
    <w:rsid w:val="00D10200"/>
    <w:rsid w:val="00D10958"/>
    <w:rsid w:val="00D16450"/>
    <w:rsid w:val="00D20F20"/>
    <w:rsid w:val="00D229B7"/>
    <w:rsid w:val="00D24F0E"/>
    <w:rsid w:val="00D302D3"/>
    <w:rsid w:val="00D35938"/>
    <w:rsid w:val="00D4027B"/>
    <w:rsid w:val="00D40AEB"/>
    <w:rsid w:val="00D53566"/>
    <w:rsid w:val="00D55E74"/>
    <w:rsid w:val="00D6185F"/>
    <w:rsid w:val="00D65F0E"/>
    <w:rsid w:val="00D71E8A"/>
    <w:rsid w:val="00D730FC"/>
    <w:rsid w:val="00D81353"/>
    <w:rsid w:val="00D84920"/>
    <w:rsid w:val="00D85A3E"/>
    <w:rsid w:val="00D942BB"/>
    <w:rsid w:val="00D95D63"/>
    <w:rsid w:val="00DB7D12"/>
    <w:rsid w:val="00DC06A2"/>
    <w:rsid w:val="00DC1FC4"/>
    <w:rsid w:val="00DD0D05"/>
    <w:rsid w:val="00DD2C67"/>
    <w:rsid w:val="00DE36A7"/>
    <w:rsid w:val="00DE47CA"/>
    <w:rsid w:val="00DE4EB0"/>
    <w:rsid w:val="00DE5C7E"/>
    <w:rsid w:val="00DE7A52"/>
    <w:rsid w:val="00DF3A80"/>
    <w:rsid w:val="00DF7A1D"/>
    <w:rsid w:val="00E01EB5"/>
    <w:rsid w:val="00E13CF0"/>
    <w:rsid w:val="00E163FB"/>
    <w:rsid w:val="00E22060"/>
    <w:rsid w:val="00E321F5"/>
    <w:rsid w:val="00E35F1F"/>
    <w:rsid w:val="00E37E81"/>
    <w:rsid w:val="00E4668D"/>
    <w:rsid w:val="00E52CEA"/>
    <w:rsid w:val="00E52FA1"/>
    <w:rsid w:val="00E62C0E"/>
    <w:rsid w:val="00E62CCE"/>
    <w:rsid w:val="00E70E00"/>
    <w:rsid w:val="00E73C44"/>
    <w:rsid w:val="00E75831"/>
    <w:rsid w:val="00E84E5F"/>
    <w:rsid w:val="00E9110E"/>
    <w:rsid w:val="00EA025F"/>
    <w:rsid w:val="00EA0686"/>
    <w:rsid w:val="00EA0770"/>
    <w:rsid w:val="00EA1811"/>
    <w:rsid w:val="00EA55DF"/>
    <w:rsid w:val="00EB18FA"/>
    <w:rsid w:val="00EB701A"/>
    <w:rsid w:val="00EB7843"/>
    <w:rsid w:val="00EC28F3"/>
    <w:rsid w:val="00ED11E4"/>
    <w:rsid w:val="00ED1916"/>
    <w:rsid w:val="00ED1B8A"/>
    <w:rsid w:val="00ED2F0B"/>
    <w:rsid w:val="00ED5B81"/>
    <w:rsid w:val="00ED67F5"/>
    <w:rsid w:val="00EE50E1"/>
    <w:rsid w:val="00EE78BE"/>
    <w:rsid w:val="00EF1F61"/>
    <w:rsid w:val="00EF320C"/>
    <w:rsid w:val="00F007A3"/>
    <w:rsid w:val="00F01279"/>
    <w:rsid w:val="00F03BAD"/>
    <w:rsid w:val="00F07493"/>
    <w:rsid w:val="00F104AA"/>
    <w:rsid w:val="00F17F31"/>
    <w:rsid w:val="00F246BC"/>
    <w:rsid w:val="00F24D5C"/>
    <w:rsid w:val="00F278E2"/>
    <w:rsid w:val="00F27CD3"/>
    <w:rsid w:val="00F30595"/>
    <w:rsid w:val="00F3317A"/>
    <w:rsid w:val="00F353B4"/>
    <w:rsid w:val="00F3588E"/>
    <w:rsid w:val="00F46099"/>
    <w:rsid w:val="00F4796A"/>
    <w:rsid w:val="00F5351D"/>
    <w:rsid w:val="00F562FB"/>
    <w:rsid w:val="00F63924"/>
    <w:rsid w:val="00F66AC2"/>
    <w:rsid w:val="00F936FA"/>
    <w:rsid w:val="00F963AD"/>
    <w:rsid w:val="00FC1567"/>
    <w:rsid w:val="00FD3BD4"/>
    <w:rsid w:val="00FE307C"/>
    <w:rsid w:val="00FE675D"/>
    <w:rsid w:val="00FF42D1"/>
    <w:rsid w:val="024B7610"/>
    <w:rsid w:val="02904630"/>
    <w:rsid w:val="02DF2789"/>
    <w:rsid w:val="02ED0A04"/>
    <w:rsid w:val="03044238"/>
    <w:rsid w:val="032E23EC"/>
    <w:rsid w:val="03465690"/>
    <w:rsid w:val="03905C46"/>
    <w:rsid w:val="042F6008"/>
    <w:rsid w:val="047E57B2"/>
    <w:rsid w:val="05BB7856"/>
    <w:rsid w:val="06727787"/>
    <w:rsid w:val="067B3B7A"/>
    <w:rsid w:val="069A2713"/>
    <w:rsid w:val="06AE35CF"/>
    <w:rsid w:val="072C602A"/>
    <w:rsid w:val="073519BE"/>
    <w:rsid w:val="077A62E2"/>
    <w:rsid w:val="079D0391"/>
    <w:rsid w:val="07E32029"/>
    <w:rsid w:val="080B7E8E"/>
    <w:rsid w:val="084844DD"/>
    <w:rsid w:val="085942BE"/>
    <w:rsid w:val="08A04ACA"/>
    <w:rsid w:val="08A46BEC"/>
    <w:rsid w:val="08E43459"/>
    <w:rsid w:val="09CC2BF4"/>
    <w:rsid w:val="0AB25B7A"/>
    <w:rsid w:val="0B574BAB"/>
    <w:rsid w:val="0BC91002"/>
    <w:rsid w:val="0C4D5D6A"/>
    <w:rsid w:val="0CD66D6A"/>
    <w:rsid w:val="0E3D5C14"/>
    <w:rsid w:val="0E494602"/>
    <w:rsid w:val="0E70774D"/>
    <w:rsid w:val="0E7116F8"/>
    <w:rsid w:val="0F776F49"/>
    <w:rsid w:val="10174485"/>
    <w:rsid w:val="10F6548A"/>
    <w:rsid w:val="11F44ABD"/>
    <w:rsid w:val="12241950"/>
    <w:rsid w:val="12261667"/>
    <w:rsid w:val="127861E7"/>
    <w:rsid w:val="12826B84"/>
    <w:rsid w:val="13C56F60"/>
    <w:rsid w:val="13D36475"/>
    <w:rsid w:val="14B21B34"/>
    <w:rsid w:val="16044C16"/>
    <w:rsid w:val="170C48FB"/>
    <w:rsid w:val="176D24AC"/>
    <w:rsid w:val="176F0FF1"/>
    <w:rsid w:val="17832D68"/>
    <w:rsid w:val="18514931"/>
    <w:rsid w:val="19DB4F8D"/>
    <w:rsid w:val="1A485342"/>
    <w:rsid w:val="1A923EFD"/>
    <w:rsid w:val="1B6C03A2"/>
    <w:rsid w:val="1BF53D8E"/>
    <w:rsid w:val="1BF819CE"/>
    <w:rsid w:val="1C7601C5"/>
    <w:rsid w:val="1CA97AF2"/>
    <w:rsid w:val="1CB25BED"/>
    <w:rsid w:val="1CB41B1A"/>
    <w:rsid w:val="1CE90C78"/>
    <w:rsid w:val="1CEA21B3"/>
    <w:rsid w:val="1D3905C6"/>
    <w:rsid w:val="1D7A3BAE"/>
    <w:rsid w:val="1E107C25"/>
    <w:rsid w:val="1E4A7FBF"/>
    <w:rsid w:val="1E5C00D9"/>
    <w:rsid w:val="1EFC20F3"/>
    <w:rsid w:val="1FEC1CBA"/>
    <w:rsid w:val="200B1359"/>
    <w:rsid w:val="215A56A0"/>
    <w:rsid w:val="21B43BB0"/>
    <w:rsid w:val="21F96A6E"/>
    <w:rsid w:val="22496209"/>
    <w:rsid w:val="22DF060E"/>
    <w:rsid w:val="23EA355D"/>
    <w:rsid w:val="240259F0"/>
    <w:rsid w:val="2404542C"/>
    <w:rsid w:val="24C92EFB"/>
    <w:rsid w:val="25057336"/>
    <w:rsid w:val="26FF47D2"/>
    <w:rsid w:val="27213B35"/>
    <w:rsid w:val="2776089C"/>
    <w:rsid w:val="27BF0D76"/>
    <w:rsid w:val="27E00EE0"/>
    <w:rsid w:val="28142779"/>
    <w:rsid w:val="2A515B4F"/>
    <w:rsid w:val="2B1954ED"/>
    <w:rsid w:val="2B352870"/>
    <w:rsid w:val="2B4C314F"/>
    <w:rsid w:val="2BB64D7D"/>
    <w:rsid w:val="2BF93154"/>
    <w:rsid w:val="2C1433C1"/>
    <w:rsid w:val="2CAA1E0C"/>
    <w:rsid w:val="2D35264F"/>
    <w:rsid w:val="2D857649"/>
    <w:rsid w:val="2D8B0528"/>
    <w:rsid w:val="2E2A32A9"/>
    <w:rsid w:val="2E4134C1"/>
    <w:rsid w:val="2E760F0A"/>
    <w:rsid w:val="2F7755CB"/>
    <w:rsid w:val="2FF37397"/>
    <w:rsid w:val="30106775"/>
    <w:rsid w:val="30E93A29"/>
    <w:rsid w:val="31E3128D"/>
    <w:rsid w:val="343E5D9D"/>
    <w:rsid w:val="34851422"/>
    <w:rsid w:val="35171994"/>
    <w:rsid w:val="35FC0AE7"/>
    <w:rsid w:val="360E6349"/>
    <w:rsid w:val="363D3CC1"/>
    <w:rsid w:val="36CD4E4A"/>
    <w:rsid w:val="382D255F"/>
    <w:rsid w:val="38E13268"/>
    <w:rsid w:val="398A2C9E"/>
    <w:rsid w:val="399455E7"/>
    <w:rsid w:val="3A254190"/>
    <w:rsid w:val="3A352FBB"/>
    <w:rsid w:val="3A5178B3"/>
    <w:rsid w:val="3A806E2F"/>
    <w:rsid w:val="3AA05DA1"/>
    <w:rsid w:val="3B572E86"/>
    <w:rsid w:val="3BA61585"/>
    <w:rsid w:val="3BF84B8E"/>
    <w:rsid w:val="3E1F5C22"/>
    <w:rsid w:val="3E830F89"/>
    <w:rsid w:val="3F0F71F9"/>
    <w:rsid w:val="3F4D44A2"/>
    <w:rsid w:val="401A4AC8"/>
    <w:rsid w:val="413A1A82"/>
    <w:rsid w:val="41645C9E"/>
    <w:rsid w:val="41D40AF0"/>
    <w:rsid w:val="422E642A"/>
    <w:rsid w:val="42BD295A"/>
    <w:rsid w:val="42CB4362"/>
    <w:rsid w:val="43217FE2"/>
    <w:rsid w:val="433B3FD3"/>
    <w:rsid w:val="436627E9"/>
    <w:rsid w:val="438350FA"/>
    <w:rsid w:val="4389215F"/>
    <w:rsid w:val="438C142D"/>
    <w:rsid w:val="4392006A"/>
    <w:rsid w:val="43B77EC0"/>
    <w:rsid w:val="43C3288C"/>
    <w:rsid w:val="43CD0555"/>
    <w:rsid w:val="43E90D2C"/>
    <w:rsid w:val="44025BF0"/>
    <w:rsid w:val="44DE5E1B"/>
    <w:rsid w:val="45A06CC5"/>
    <w:rsid w:val="45B346C6"/>
    <w:rsid w:val="46CB52FC"/>
    <w:rsid w:val="46F0533D"/>
    <w:rsid w:val="488D2675"/>
    <w:rsid w:val="49272AA2"/>
    <w:rsid w:val="49291172"/>
    <w:rsid w:val="49607176"/>
    <w:rsid w:val="49A95F2D"/>
    <w:rsid w:val="4A814816"/>
    <w:rsid w:val="4B8511B1"/>
    <w:rsid w:val="4BB6088A"/>
    <w:rsid w:val="4BB827F5"/>
    <w:rsid w:val="4C187A31"/>
    <w:rsid w:val="4C76314B"/>
    <w:rsid w:val="4DBD75E9"/>
    <w:rsid w:val="4E4674E6"/>
    <w:rsid w:val="4E567FF0"/>
    <w:rsid w:val="4E641FF3"/>
    <w:rsid w:val="4E7A5C30"/>
    <w:rsid w:val="4EE4512B"/>
    <w:rsid w:val="4F4B58F0"/>
    <w:rsid w:val="4F9831FB"/>
    <w:rsid w:val="4FC263E1"/>
    <w:rsid w:val="4FCE68B0"/>
    <w:rsid w:val="50BE71A8"/>
    <w:rsid w:val="51C91180"/>
    <w:rsid w:val="52280F5E"/>
    <w:rsid w:val="52AE5D1F"/>
    <w:rsid w:val="52B92F0B"/>
    <w:rsid w:val="531A3FDA"/>
    <w:rsid w:val="5381244C"/>
    <w:rsid w:val="53FA2113"/>
    <w:rsid w:val="540D038A"/>
    <w:rsid w:val="5436759C"/>
    <w:rsid w:val="54ED5A51"/>
    <w:rsid w:val="550263DC"/>
    <w:rsid w:val="55C142CB"/>
    <w:rsid w:val="56582F22"/>
    <w:rsid w:val="56752DE7"/>
    <w:rsid w:val="568561B4"/>
    <w:rsid w:val="56892492"/>
    <w:rsid w:val="56A528B0"/>
    <w:rsid w:val="56C12B9A"/>
    <w:rsid w:val="575E3CF1"/>
    <w:rsid w:val="57CD2AF8"/>
    <w:rsid w:val="58624883"/>
    <w:rsid w:val="5876656F"/>
    <w:rsid w:val="587C7EE0"/>
    <w:rsid w:val="589F323B"/>
    <w:rsid w:val="5AEC7300"/>
    <w:rsid w:val="5B1D3134"/>
    <w:rsid w:val="5BF52CEA"/>
    <w:rsid w:val="5BFD230E"/>
    <w:rsid w:val="5DB57C4A"/>
    <w:rsid w:val="5E897730"/>
    <w:rsid w:val="5F7A40DF"/>
    <w:rsid w:val="603170D9"/>
    <w:rsid w:val="6070571A"/>
    <w:rsid w:val="60CB750C"/>
    <w:rsid w:val="61407584"/>
    <w:rsid w:val="616F3B21"/>
    <w:rsid w:val="61F50E1D"/>
    <w:rsid w:val="64490810"/>
    <w:rsid w:val="64A1222E"/>
    <w:rsid w:val="64AD1728"/>
    <w:rsid w:val="650E4D44"/>
    <w:rsid w:val="654C2E98"/>
    <w:rsid w:val="65E55ECE"/>
    <w:rsid w:val="65F53B49"/>
    <w:rsid w:val="663452C2"/>
    <w:rsid w:val="66A3066B"/>
    <w:rsid w:val="67EF6DEB"/>
    <w:rsid w:val="68D91DCB"/>
    <w:rsid w:val="68F20C83"/>
    <w:rsid w:val="690270D6"/>
    <w:rsid w:val="6A1243D0"/>
    <w:rsid w:val="6B9F75F2"/>
    <w:rsid w:val="6C0747F6"/>
    <w:rsid w:val="6C1B5CDE"/>
    <w:rsid w:val="6C366899"/>
    <w:rsid w:val="6C8D7596"/>
    <w:rsid w:val="6D1557FB"/>
    <w:rsid w:val="6D7C6692"/>
    <w:rsid w:val="6D9E7845"/>
    <w:rsid w:val="6E4659E5"/>
    <w:rsid w:val="6F230AE6"/>
    <w:rsid w:val="6F330E57"/>
    <w:rsid w:val="6F516FDD"/>
    <w:rsid w:val="6F6A0191"/>
    <w:rsid w:val="6F6A0FF6"/>
    <w:rsid w:val="6FF127E6"/>
    <w:rsid w:val="703219C2"/>
    <w:rsid w:val="70456C7B"/>
    <w:rsid w:val="709062C3"/>
    <w:rsid w:val="718309B8"/>
    <w:rsid w:val="71AA6732"/>
    <w:rsid w:val="72731832"/>
    <w:rsid w:val="729B682C"/>
    <w:rsid w:val="72EC1F71"/>
    <w:rsid w:val="73397D9F"/>
    <w:rsid w:val="743A1952"/>
    <w:rsid w:val="74A34CB4"/>
    <w:rsid w:val="74BD6245"/>
    <w:rsid w:val="763B471A"/>
    <w:rsid w:val="76CB3BBF"/>
    <w:rsid w:val="77CC60FC"/>
    <w:rsid w:val="782D432B"/>
    <w:rsid w:val="7857382F"/>
    <w:rsid w:val="79A11BA0"/>
    <w:rsid w:val="7A1B7E7C"/>
    <w:rsid w:val="7A5A2E35"/>
    <w:rsid w:val="7ACE7DC0"/>
    <w:rsid w:val="7B563005"/>
    <w:rsid w:val="7BD51865"/>
    <w:rsid w:val="7C0758D8"/>
    <w:rsid w:val="7C417202"/>
    <w:rsid w:val="7CC01CBA"/>
    <w:rsid w:val="7CC46E5B"/>
    <w:rsid w:val="7D267787"/>
    <w:rsid w:val="7D9E5F6B"/>
    <w:rsid w:val="7DC85F2A"/>
    <w:rsid w:val="7E035DD3"/>
    <w:rsid w:val="7E430E21"/>
    <w:rsid w:val="7EC7642F"/>
    <w:rsid w:val="7F3A2374"/>
    <w:rsid w:val="7FF72A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qFormat/>
    <w:uiPriority w:val="99"/>
    <w:pPr>
      <w:spacing w:line="240" w:lineRule="auto"/>
      <w:ind w:left="100" w:leftChars="2500"/>
    </w:pPr>
    <w:rPr>
      <w:rFonts w:ascii="Times New Roman" w:hAnsi="Times New Roman" w:eastAsia="宋体"/>
      <w:kern w:val="0"/>
      <w:sz w:val="24"/>
      <w:szCs w:val="24"/>
    </w:rPr>
  </w:style>
  <w:style w:type="paragraph" w:styleId="3">
    <w:name w:val="Balloon Text"/>
    <w:basedOn w:val="1"/>
    <w:link w:val="15"/>
    <w:semiHidden/>
    <w:unhideWhenUsed/>
    <w:qFormat/>
    <w:uiPriority w:val="99"/>
    <w:pPr>
      <w:spacing w:line="240" w:lineRule="auto"/>
    </w:pPr>
    <w:rPr>
      <w:sz w:val="18"/>
      <w:szCs w:val="18"/>
    </w:rPr>
  </w:style>
  <w:style w:type="paragraph" w:styleId="4">
    <w:name w:val="footer"/>
    <w:basedOn w:val="1"/>
    <w:link w:val="14"/>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9">
    <w:name w:val="Strong"/>
    <w:basedOn w:val="8"/>
    <w:qFormat/>
    <w:locked/>
    <w:uiPriority w:val="22"/>
    <w:rPr>
      <w:b/>
      <w:bCs/>
    </w:rPr>
  </w:style>
  <w:style w:type="character" w:styleId="10">
    <w:name w:val="page number"/>
    <w:basedOn w:val="8"/>
    <w:qFormat/>
    <w:uiPriority w:val="0"/>
  </w:style>
  <w:style w:type="character" w:styleId="11">
    <w:name w:val="Emphasis"/>
    <w:basedOn w:val="8"/>
    <w:qFormat/>
    <w:locked/>
    <w:uiPriority w:val="0"/>
    <w:rPr>
      <w:i/>
    </w:rPr>
  </w:style>
  <w:style w:type="paragraph" w:customStyle="1" w:styleId="12">
    <w:name w:val="Char"/>
    <w:basedOn w:val="1"/>
    <w:qFormat/>
    <w:uiPriority w:val="99"/>
    <w:pPr>
      <w:spacing w:line="240" w:lineRule="auto"/>
    </w:pPr>
    <w:rPr>
      <w:rFonts w:ascii="Times New Roman" w:hAnsi="Times New Roman" w:eastAsia="宋体"/>
      <w:sz w:val="21"/>
      <w:szCs w:val="20"/>
    </w:rPr>
  </w:style>
  <w:style w:type="character" w:customStyle="1" w:styleId="13">
    <w:name w:val="页眉 Char"/>
    <w:link w:val="5"/>
    <w:qFormat/>
    <w:locked/>
    <w:uiPriority w:val="99"/>
    <w:rPr>
      <w:rFonts w:ascii="仿宋_GB2312" w:hAnsi="Calibri" w:eastAsia="仿宋_GB2312" w:cs="Times New Roman"/>
      <w:sz w:val="18"/>
      <w:szCs w:val="18"/>
    </w:rPr>
  </w:style>
  <w:style w:type="character" w:customStyle="1" w:styleId="14">
    <w:name w:val="页脚 Char"/>
    <w:link w:val="4"/>
    <w:qFormat/>
    <w:locked/>
    <w:uiPriority w:val="99"/>
    <w:rPr>
      <w:rFonts w:ascii="仿宋_GB2312" w:hAnsi="Calibri" w:eastAsia="仿宋_GB2312" w:cs="Times New Roman"/>
      <w:sz w:val="18"/>
      <w:szCs w:val="18"/>
    </w:rPr>
  </w:style>
  <w:style w:type="character" w:customStyle="1" w:styleId="15">
    <w:name w:val="批注框文本 Char"/>
    <w:link w:val="3"/>
    <w:semiHidden/>
    <w:qFormat/>
    <w:uiPriority w:val="99"/>
    <w:rPr>
      <w:rFonts w:ascii="仿宋_GB2312" w:eastAsia="仿宋_GB2312"/>
      <w:kern w:val="2"/>
      <w:sz w:val="18"/>
      <w:szCs w:val="18"/>
    </w:rPr>
  </w:style>
  <w:style w:type="character" w:customStyle="1" w:styleId="16">
    <w:name w:val="日期 Char"/>
    <w:link w:val="2"/>
    <w:semiHidden/>
    <w:qFormat/>
    <w:locked/>
    <w:uiPriority w:val="99"/>
    <w:rPr>
      <w:rFonts w:ascii="Times New Roman" w:hAnsi="Times New Roman"/>
      <w:sz w:val="24"/>
      <w:szCs w:val="24"/>
    </w:rPr>
  </w:style>
  <w:style w:type="character" w:customStyle="1" w:styleId="17">
    <w:name w:val="日期 Char1"/>
    <w:basedOn w:val="8"/>
    <w:semiHidden/>
    <w:qFormat/>
    <w:uiPriority w:val="99"/>
    <w:rPr>
      <w:rFonts w:ascii="仿宋_GB2312" w:eastAsia="仿宋_GB2312"/>
      <w:kern w:val="2"/>
      <w:sz w:val="32"/>
      <w:szCs w:val="32"/>
    </w:rPr>
  </w:style>
  <w:style w:type="character" w:customStyle="1" w:styleId="18">
    <w:name w:val="doctitle1"/>
    <w:basedOn w:val="8"/>
    <w:qFormat/>
    <w:uiPriority w:val="0"/>
    <w:rPr>
      <w:color w:val="FF0000"/>
      <w:sz w:val="28"/>
      <w:szCs w:val="28"/>
    </w:rPr>
  </w:style>
  <w:style w:type="paragraph" w:customStyle="1" w:styleId="19">
    <w:name w:val="p0"/>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65D008-6AFB-453F-9343-9425C933C03D}">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8</Pages>
  <Words>720</Words>
  <Characters>4104</Characters>
  <Lines>34</Lines>
  <Paragraphs>9</Paragraphs>
  <TotalTime>2898</TotalTime>
  <ScaleCrop>false</ScaleCrop>
  <LinksUpToDate>false</LinksUpToDate>
  <CharactersWithSpaces>4815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2019-04-15T01:57:00Z</dcterms:created>
  <dc:creator>lenovo</dc:creator>
  <cp:lastModifiedBy>Administrator</cp:lastModifiedBy>
  <cp:lastPrinted>2020-03-26T03:38:00Z</cp:lastPrinted>
  <dcterms:modified xsi:type="dcterms:W3CDTF">2021-09-08T09:11:00Z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F92B358E8D694085A2A2C5106D41F34F</vt:lpwstr>
  </property>
</Properties>
</file>