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2020年度望城区档案馆部门整体支出预算绩效</w:t>
      </w:r>
    </w:p>
    <w:p>
      <w:pPr>
        <w:spacing w:line="600" w:lineRule="exact"/>
        <w:jc w:val="center"/>
        <w:rPr>
          <w:rFonts w:ascii="Times New Roman" w:hAnsi="Times New Roman"/>
        </w:rPr>
      </w:pPr>
      <w:r>
        <w:rPr>
          <w:rFonts w:hint="eastAsia" w:ascii="黑体" w:hAnsi="黑体" w:eastAsia="黑体" w:cs="黑体"/>
          <w:sz w:val="36"/>
          <w:szCs w:val="36"/>
        </w:rPr>
        <w:t>自评报告</w:t>
      </w:r>
    </w:p>
    <w:p>
      <w:pPr>
        <w:spacing w:line="600" w:lineRule="exact"/>
        <w:jc w:val="center"/>
        <w:rPr>
          <w:rFonts w:ascii="Times New Roman" w:hAnsi="Times New Roman"/>
        </w:rPr>
      </w:pPr>
    </w:p>
    <w:p>
      <w:pPr>
        <w:numPr>
          <w:ilvl w:val="0"/>
          <w:numId w:val="1"/>
        </w:num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部门基本情况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望城区档案馆是</w:t>
      </w:r>
      <w:bookmarkStart w:id="0" w:name="_GoBack"/>
      <w:bookmarkEnd w:id="0"/>
      <w:r>
        <w:rPr>
          <w:rFonts w:hint="eastAsia" w:ascii="仿宋" w:hAnsi="仿宋" w:eastAsia="仿宋" w:cs="仿宋_GB2312"/>
          <w:sz w:val="32"/>
          <w:szCs w:val="32"/>
        </w:rPr>
        <w:t>区委办公室所属公益类事业单位</w:t>
      </w:r>
      <w:r>
        <w:rPr>
          <w:rFonts w:ascii="仿宋" w:hAnsi="仿宋" w:eastAsia="仿宋" w:cs="仿宋_GB2312"/>
          <w:sz w:val="32"/>
          <w:szCs w:val="32"/>
        </w:rPr>
        <w:t>，</w:t>
      </w:r>
      <w:r>
        <w:rPr>
          <w:rFonts w:hint="eastAsia" w:ascii="仿宋" w:hAnsi="仿宋" w:eastAsia="仿宋" w:cs="仿宋_GB2312"/>
          <w:sz w:val="32"/>
          <w:szCs w:val="32"/>
        </w:rPr>
        <w:t>加挂区委党史研究室、区地方志编纂室牌子。</w:t>
      </w:r>
      <w:r>
        <w:rPr>
          <w:rFonts w:hint="eastAsia" w:ascii="仿宋" w:hAnsi="仿宋" w:eastAsia="仿宋"/>
          <w:sz w:val="32"/>
          <w:szCs w:val="32"/>
        </w:rPr>
        <w:t>设有办公室、党史室、方志室、档案室。</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主要职责是:</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）接收按规定应移交进馆的各种门类和载体的档案资料，维护档案完整，保守党和国家机密；承担馆藏档案的整理和鉴定</w:t>
      </w:r>
      <w:r>
        <w:rPr>
          <w:rFonts w:hint="eastAsia" w:ascii="仿宋" w:hAnsi="仿宋" w:eastAsia="仿宋"/>
          <w:sz w:val="32"/>
          <w:szCs w:val="32"/>
        </w:rPr>
        <w:t>工作；</w:t>
      </w:r>
      <w:r>
        <w:rPr>
          <w:rFonts w:ascii="仿宋" w:hAnsi="仿宋" w:eastAsia="仿宋"/>
          <w:sz w:val="32"/>
          <w:szCs w:val="32"/>
        </w:rPr>
        <w:t>编制检索工具，</w:t>
      </w:r>
      <w:r>
        <w:rPr>
          <w:rFonts w:hint="eastAsia" w:ascii="仿宋" w:hAnsi="仿宋" w:eastAsia="仿宋"/>
          <w:sz w:val="32"/>
          <w:szCs w:val="32"/>
        </w:rPr>
        <w:t>负责</w:t>
      </w:r>
      <w:r>
        <w:rPr>
          <w:rFonts w:ascii="仿宋" w:hAnsi="仿宋" w:eastAsia="仿宋"/>
          <w:sz w:val="32"/>
          <w:szCs w:val="32"/>
        </w:rPr>
        <w:t>档案信息查阅利用工作；负责馆藏档案的实体安全和信息安全。</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）征集散存在社会上的反映</w:t>
      </w:r>
      <w:r>
        <w:rPr>
          <w:rFonts w:hint="eastAsia" w:ascii="仿宋" w:hAnsi="仿宋" w:eastAsia="仿宋"/>
          <w:sz w:val="32"/>
          <w:szCs w:val="32"/>
        </w:rPr>
        <w:t>本区</w:t>
      </w:r>
      <w:r>
        <w:rPr>
          <w:rFonts w:ascii="仿宋" w:hAnsi="仿宋" w:eastAsia="仿宋"/>
          <w:sz w:val="32"/>
          <w:szCs w:val="32"/>
        </w:rPr>
        <w:t>各个历史时期、具有重要价值和历史研究价值的档案资料以及著名人物在</w:t>
      </w:r>
      <w:r>
        <w:rPr>
          <w:rFonts w:hint="eastAsia" w:ascii="仿宋" w:hAnsi="仿宋" w:eastAsia="仿宋"/>
          <w:sz w:val="32"/>
          <w:szCs w:val="32"/>
        </w:rPr>
        <w:t>望城</w:t>
      </w:r>
      <w:r>
        <w:rPr>
          <w:rFonts w:ascii="仿宋" w:hAnsi="仿宋" w:eastAsia="仿宋"/>
          <w:sz w:val="32"/>
          <w:szCs w:val="32"/>
        </w:rPr>
        <w:t>活动中形成的档案资料；负责重要会议、重要活动、重大事件档案资料的</w:t>
      </w:r>
      <w:r>
        <w:rPr>
          <w:rFonts w:hint="eastAsia" w:ascii="仿宋" w:hAnsi="仿宋" w:eastAsia="仿宋"/>
          <w:sz w:val="32"/>
          <w:szCs w:val="32"/>
        </w:rPr>
        <w:t>接收工作；负责</w:t>
      </w:r>
      <w:r>
        <w:rPr>
          <w:rFonts w:ascii="仿宋" w:hAnsi="仿宋" w:eastAsia="仿宋"/>
          <w:sz w:val="32"/>
          <w:szCs w:val="32"/>
        </w:rPr>
        <w:t>机构改革、企业改制、行政区划调整及临时机构撤销等过程中的单位档案资料</w:t>
      </w:r>
      <w:r>
        <w:rPr>
          <w:rFonts w:hint="eastAsia" w:ascii="仿宋" w:hAnsi="仿宋" w:eastAsia="仿宋"/>
          <w:sz w:val="32"/>
          <w:szCs w:val="32"/>
        </w:rPr>
        <w:t>的接收工作。</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负责馆藏档案数字化加工；</w:t>
      </w:r>
      <w:r>
        <w:rPr>
          <w:rFonts w:ascii="仿宋" w:hAnsi="仿宋" w:eastAsia="仿宋"/>
          <w:sz w:val="32"/>
          <w:szCs w:val="32"/>
        </w:rPr>
        <w:t>推进</w:t>
      </w:r>
      <w:r>
        <w:rPr>
          <w:rFonts w:hint="eastAsia" w:ascii="仿宋" w:hAnsi="仿宋" w:eastAsia="仿宋"/>
          <w:sz w:val="32"/>
          <w:szCs w:val="32"/>
        </w:rPr>
        <w:t>全区</w:t>
      </w:r>
      <w:r>
        <w:rPr>
          <w:rFonts w:ascii="仿宋" w:hAnsi="仿宋" w:eastAsia="仿宋"/>
          <w:sz w:val="32"/>
          <w:szCs w:val="32"/>
        </w:rPr>
        <w:t>档案数字化建设；</w:t>
      </w:r>
      <w:r>
        <w:rPr>
          <w:rFonts w:hint="eastAsia" w:ascii="仿宋" w:hAnsi="仿宋" w:eastAsia="仿宋"/>
          <w:sz w:val="32"/>
          <w:szCs w:val="32"/>
        </w:rPr>
        <w:t>负责馆藏档案资料的研究、综合开发、汇编，出版馆藏档案史料。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（四）征集、整理、研究望城地方党史资料，总结历史经验，提供历史借鉴；编写望城地方党史、党史大事记、党委工作纪事；编纂出版党史书刊、老同志回忆录、重要党史人物的传记等。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（五）运用党史资料和党史研究成果，开展各种形式的党史、革命史的宣传、教育；协助征集党史和革命文物、资料；支持协助区委党史联络组开展党史联络工作。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（六）编纂地方综合年鉴《望城年鉴》，做好《长沙年鉴》《湖南年鉴》组稿编纂工作；协助编修《望城区志》。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（七）收集、整理、保存地方文献和地情资料，推动地方志理论研究；为区内部门志、专业志及镇志、村志、社区志的编修及地情书籍的编纂工作提供业务指导和咨询服务。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（八）完成区委、区政府交办的其他任务。</w:t>
      </w:r>
    </w:p>
    <w:p>
      <w:pPr>
        <w:spacing w:line="60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二、部门整体预算支出情况</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（一）基本支出情况。</w:t>
      </w:r>
      <w:r>
        <w:rPr>
          <w:rFonts w:hint="eastAsia" w:ascii="仿宋" w:hAnsi="仿宋" w:eastAsia="仿宋"/>
          <w:sz w:val="32"/>
          <w:szCs w:val="32"/>
        </w:rPr>
        <w:t>2020年度基本支出预算为</w:t>
      </w:r>
      <w:r>
        <w:rPr>
          <w:rFonts w:hint="eastAsia" w:ascii="仿宋" w:hAnsi="仿宋" w:eastAsia="仿宋"/>
          <w:sz w:val="32"/>
          <w:szCs w:val="32"/>
          <w:lang w:val="en-US" w:eastAsia="zh-CN"/>
        </w:rPr>
        <w:t>418.09</w:t>
      </w:r>
      <w:r>
        <w:rPr>
          <w:rFonts w:hint="eastAsia" w:ascii="仿宋" w:hAnsi="仿宋" w:eastAsia="仿宋"/>
          <w:sz w:val="32"/>
          <w:szCs w:val="32"/>
        </w:rPr>
        <w:t>万元，实际基本支出</w:t>
      </w:r>
      <w:r>
        <w:rPr>
          <w:rFonts w:hint="eastAsia" w:ascii="仿宋" w:hAnsi="仿宋" w:eastAsia="仿宋"/>
          <w:sz w:val="32"/>
          <w:szCs w:val="32"/>
          <w:lang w:val="en-US" w:eastAsia="zh-CN"/>
        </w:rPr>
        <w:t>467.09</w:t>
      </w:r>
      <w:r>
        <w:rPr>
          <w:rFonts w:hint="eastAsia" w:ascii="仿宋" w:hAnsi="仿宋" w:eastAsia="仿宋"/>
          <w:sz w:val="32"/>
          <w:szCs w:val="32"/>
        </w:rPr>
        <w:t>万元。</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（二）项目支出情况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1.公共专项资金安排和使用管理。2020年度公共专项资金预算资金为300万元，实际支出</w:t>
      </w:r>
      <w:r>
        <w:rPr>
          <w:rFonts w:hint="eastAsia" w:ascii="仿宋" w:hAnsi="仿宋" w:eastAsia="仿宋"/>
          <w:sz w:val="32"/>
          <w:szCs w:val="32"/>
          <w:lang w:val="en-US" w:eastAsia="zh-CN"/>
        </w:rPr>
        <w:t>252.3</w:t>
      </w:r>
      <w:r>
        <w:rPr>
          <w:rFonts w:hint="eastAsia" w:ascii="仿宋" w:hAnsi="仿宋" w:eastAsia="仿宋"/>
          <w:sz w:val="32"/>
          <w:szCs w:val="32"/>
        </w:rPr>
        <w:t>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2.其他项目资金支出情况。2020年度其他项目支出预算</w:t>
      </w:r>
      <w:r>
        <w:rPr>
          <w:rFonts w:hint="eastAsia" w:ascii="仿宋" w:hAnsi="仿宋" w:eastAsia="仿宋"/>
          <w:sz w:val="32"/>
          <w:szCs w:val="32"/>
          <w:lang w:val="en-US" w:eastAsia="zh-CN"/>
        </w:rPr>
        <w:t>130</w:t>
      </w:r>
      <w:r>
        <w:rPr>
          <w:rFonts w:hint="eastAsia" w:ascii="仿宋" w:hAnsi="仿宋" w:eastAsia="仿宋"/>
          <w:sz w:val="32"/>
          <w:szCs w:val="32"/>
        </w:rPr>
        <w:t>万元，实际支出</w:t>
      </w:r>
      <w:r>
        <w:rPr>
          <w:rFonts w:hint="eastAsia" w:ascii="仿宋" w:hAnsi="仿宋" w:eastAsia="仿宋"/>
          <w:sz w:val="32"/>
          <w:szCs w:val="32"/>
          <w:lang w:val="en-US" w:eastAsia="zh-CN"/>
        </w:rPr>
        <w:t>415.48</w:t>
      </w:r>
      <w:r>
        <w:rPr>
          <w:rFonts w:hint="eastAsia" w:ascii="仿宋" w:hAnsi="仿宋" w:eastAsia="仿宋"/>
          <w:sz w:val="32"/>
          <w:szCs w:val="32"/>
        </w:rPr>
        <w:t>万元。</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三、部门整体支出绩效情况</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本部门整体支出为一般公共预算财政拨款支出。为规范预算资金管理，</w:t>
      </w:r>
      <w:r>
        <w:rPr>
          <w:rFonts w:hint="eastAsia" w:ascii="仿宋" w:hAnsi="仿宋" w:eastAsia="仿宋" w:cs="仿宋"/>
          <w:sz w:val="32"/>
          <w:szCs w:val="32"/>
        </w:rPr>
        <w:t>根据最新的政策规定变化，重新梳理和完善了机关日常制度，从党建、纪检、机关管理、财务、业务工作等方面，对日常工作规范进行了明确，用制度管人管事。在连环画印刷、口述史制作、文萃馆建设、消防改造等项目资金使用上，始终严格按照“三重一大”要求，邀请派驻纪检组到场监督，集体讨论决定，</w:t>
      </w:r>
      <w:r>
        <w:rPr>
          <w:rFonts w:hint="eastAsia" w:ascii="仿宋" w:hAnsi="仿宋" w:eastAsia="仿宋"/>
          <w:sz w:val="32"/>
          <w:szCs w:val="32"/>
        </w:rPr>
        <w:t>使财政收支预算执行得到良好的制度保障和实施效果。</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单位</w:t>
      </w:r>
      <w:r>
        <w:rPr>
          <w:rFonts w:hint="eastAsia" w:ascii="仿宋" w:hAnsi="仿宋" w:eastAsia="仿宋"/>
          <w:b/>
          <w:sz w:val="32"/>
          <w:szCs w:val="32"/>
        </w:rPr>
        <w:t>资产管理情况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国家有关规定,结合单位实际情况,制定了《望城区档案馆固定资产管理办法》及工作流程,对固定资产的采购、保管、使用、维护、清查盘点、处置等作出详细规定。根据制度规定,购买固定资产涉及政府采购的,均按照政府采购的要求实施和验收;指定专人管理固定资产,正确使用固定资产,做好固定资产的维护维修工作;对固定资产的处置,严格按规定的固定资产报废或处置程序执行。</w:t>
      </w:r>
    </w:p>
    <w:p>
      <w:pPr>
        <w:pStyle w:val="15"/>
        <w:numPr>
          <w:ilvl w:val="0"/>
          <w:numId w:val="2"/>
        </w:numPr>
        <w:spacing w:line="600" w:lineRule="exact"/>
        <w:ind w:firstLineChars="0"/>
        <w:rPr>
          <w:rFonts w:ascii="仿宋" w:hAnsi="仿宋" w:eastAsia="仿宋"/>
          <w:b/>
          <w:sz w:val="32"/>
          <w:szCs w:val="32"/>
        </w:rPr>
      </w:pPr>
      <w:r>
        <w:rPr>
          <w:rFonts w:ascii="仿宋" w:hAnsi="仿宋" w:eastAsia="仿宋"/>
          <w:b/>
          <w:sz w:val="32"/>
          <w:szCs w:val="32"/>
        </w:rPr>
        <w:t>单位整体支出绩效目标及开展情况</w:t>
      </w:r>
    </w:p>
    <w:p>
      <w:pPr>
        <w:pStyle w:val="15"/>
        <w:spacing w:line="600" w:lineRule="exact"/>
        <w:ind w:left="160" w:firstLine="640"/>
        <w:rPr>
          <w:rFonts w:ascii="仿宋" w:hAnsi="仿宋" w:eastAsia="仿宋"/>
          <w:sz w:val="32"/>
          <w:szCs w:val="32"/>
        </w:rPr>
      </w:pPr>
      <w:r>
        <w:rPr>
          <w:rFonts w:hint="eastAsia" w:ascii="仿宋" w:hAnsi="仿宋" w:eastAsia="仿宋"/>
          <w:sz w:val="32"/>
          <w:szCs w:val="32"/>
        </w:rPr>
        <w:t xml:space="preserve">部门整体支出绩效目标：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摄制《星火燎原—长沙河西地下党组织发展》口述史。以望城境内第一个农村地下党支部——中共古塘湾支部为题材，与岳麓区档案馆（中共岳麓区委党史研究室）、区融媒体中心合作，摄制《星火燎原—长沙河西地下党组织发展》口述史工作，记录以古塘湾支部为代表的河西地下党支部为长沙革命斗争作出的贡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继续做好志鉴编研。把好质量关卡，完成《望城年鉴（2020）》编纂工作出版；以档案馆信息化为契机，开展编纂的同时，同步推进年鉴资料的信息化；积极配合做好省市年鉴的供稿工作和《长沙市志》相关篇目的编纂修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3.完成档案馆消防改造项目。启动档案馆整体消防改造，将档案馆库房的消防系统改造成符合档案消防标准的高密度水雾系统，消除档案馆安全隐患。</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4.推进档案数字化建设。继续推进馆藏档案的数字化工作，与区数据资源中心进行软硬件、网络运行环境调研，争取年内完成200万页档案的数字化扫描，并实现6个档案数字化平台上线试运行。</w:t>
      </w:r>
    </w:p>
    <w:p>
      <w:pPr>
        <w:pStyle w:val="15"/>
        <w:numPr>
          <w:ilvl w:val="0"/>
          <w:numId w:val="2"/>
        </w:numPr>
        <w:spacing w:line="600" w:lineRule="exact"/>
        <w:ind w:firstLineChars="0"/>
        <w:rPr>
          <w:rFonts w:hint="eastAsia" w:ascii="仿宋" w:hAnsi="仿宋" w:eastAsia="仿宋"/>
          <w:b/>
          <w:sz w:val="32"/>
          <w:szCs w:val="32"/>
        </w:rPr>
      </w:pPr>
      <w:r>
        <w:rPr>
          <w:rFonts w:hint="eastAsia" w:ascii="仿宋" w:hAnsi="仿宋" w:eastAsia="仿宋"/>
          <w:b/>
          <w:sz w:val="32"/>
          <w:szCs w:val="32"/>
        </w:rPr>
        <w:t>部门整体支出年度绩效指标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1.满意度指标：给社会公众提供及时、全面、准确、便捷的档案信息查阅，群众满意度100%。</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2.效益指标。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可持续影响指标：建立健全内控制度。</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生态效益指标：档案数字化改善档案的利用方式。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社会效益指标：大会党史资政育人作用；提高档案利用效率，扩大档案工作社会影响。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经济效益指标：促进档案、党史、地方志工作更好地为社会经济服务。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3.产出指标。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成本指标：档案信息化项目严格控制预算，全年支出不超预算数。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时效指标：2020年12月31日前完成档案馆消防改造项目。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质量指标：编纂《望城年鉴2020》，符合出版要求。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数量指标：完成档案数字化200万页，档案管理平台上线运行。</w:t>
      </w:r>
    </w:p>
    <w:p>
      <w:pPr>
        <w:pStyle w:val="15"/>
        <w:numPr>
          <w:ilvl w:val="0"/>
          <w:numId w:val="2"/>
        </w:numPr>
        <w:spacing w:line="600" w:lineRule="exact"/>
        <w:ind w:firstLineChars="0"/>
        <w:rPr>
          <w:rFonts w:ascii="仿宋" w:hAnsi="仿宋" w:eastAsia="仿宋"/>
          <w:b/>
          <w:sz w:val="32"/>
          <w:szCs w:val="32"/>
        </w:rPr>
      </w:pPr>
      <w:r>
        <w:rPr>
          <w:rFonts w:hint="eastAsia" w:ascii="仿宋" w:hAnsi="仿宋" w:eastAsia="仿宋"/>
          <w:b/>
          <w:sz w:val="32"/>
          <w:szCs w:val="32"/>
        </w:rPr>
        <w:t>业务开展情况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1.党史工作。《望城区“传承红色基因 建设幸福望城”五年规划（2021-2025）》印发；《星火燎原——长沙河西地下党组织发展》口述史摄制工作有序推进；新型冠状病毒肺炎疫情防控资料收集工作稳步开展；党史资料充分发挥宣教功能。</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2.方志工作。《望城年鉴》2020卷组稿工作顺利完成；方志文化大调研课题高质量完成；名村名镇志指导稳步落实；省市志鉴征稿任务高质量完成；地方志文化宣传反响良好。</w:t>
      </w:r>
    </w:p>
    <w:p>
      <w:pPr>
        <w:ind w:firstLine="640" w:firstLineChars="200"/>
        <w:jc w:val="left"/>
        <w:rPr>
          <w:rFonts w:hint="eastAsia" w:ascii="仿宋" w:hAnsi="仿宋" w:eastAsia="仿宋"/>
          <w:sz w:val="32"/>
          <w:szCs w:val="32"/>
        </w:rPr>
      </w:pPr>
      <w:r>
        <w:rPr>
          <w:rFonts w:hint="eastAsia" w:ascii="仿宋" w:hAnsi="仿宋" w:eastAsia="仿宋"/>
          <w:sz w:val="32"/>
          <w:szCs w:val="32"/>
        </w:rPr>
        <w:t>3.档案工作。档案库房消防改造顺利竣工；档案信息化项目一期完成验收；望城文萃馆项目完成施工；档案日常管理不断完善。</w:t>
      </w:r>
    </w:p>
    <w:p>
      <w:pPr>
        <w:pStyle w:val="15"/>
        <w:numPr>
          <w:ilvl w:val="0"/>
          <w:numId w:val="2"/>
        </w:numPr>
        <w:spacing w:line="600" w:lineRule="exact"/>
        <w:ind w:firstLineChars="0"/>
        <w:rPr>
          <w:rFonts w:hint="eastAsia" w:ascii="仿宋" w:hAnsi="仿宋" w:eastAsia="仿宋"/>
          <w:b/>
          <w:sz w:val="32"/>
          <w:szCs w:val="32"/>
        </w:rPr>
      </w:pPr>
      <w:r>
        <w:rPr>
          <w:rFonts w:ascii="仿宋" w:hAnsi="仿宋" w:eastAsia="仿宋"/>
          <w:b/>
          <w:sz w:val="32"/>
          <w:szCs w:val="32"/>
        </w:rPr>
        <w:t>单位整体支出绩效实现情况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1.满意度指标：给社会公众提供及时、全面、准确、便捷的档案信息查阅，查档群众满意度100%。</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2.效益指标。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可持续影响指标：建立健全内控制度，</w:t>
      </w:r>
      <w:r>
        <w:rPr>
          <w:rFonts w:hint="eastAsia" w:ascii="仿宋" w:hAnsi="仿宋" w:eastAsia="仿宋" w:cs="仿宋"/>
          <w:sz w:val="32"/>
          <w:szCs w:val="32"/>
        </w:rPr>
        <w:t>从党建、纪检、机关管理、财务、业务工作等方面，对日常工作规范进行了明确，用制度管人管事。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生态效益指标：档案数字化改善档案的利用方式，逐步实现通过网络对档案进行异地传输。</w:t>
      </w:r>
    </w:p>
    <w:p>
      <w:pPr>
        <w:spacing w:line="540" w:lineRule="exact"/>
        <w:ind w:firstLine="640" w:firstLineChars="200"/>
        <w:outlineLvl w:val="0"/>
        <w:rPr>
          <w:rFonts w:hint="eastAsia" w:ascii="仿宋" w:hAnsi="仿宋" w:eastAsia="仿宋"/>
          <w:sz w:val="32"/>
          <w:szCs w:val="32"/>
        </w:rPr>
      </w:pPr>
      <w:r>
        <w:rPr>
          <w:rFonts w:hint="eastAsia" w:ascii="仿宋" w:hAnsi="仿宋" w:eastAsia="仿宋"/>
          <w:sz w:val="32"/>
          <w:szCs w:val="32"/>
        </w:rPr>
        <w:t>社会效益指标：发挥党史资政育人作用；提高档案利用效率，扩大档案工作社会影响。</w:t>
      </w:r>
      <w:r>
        <w:rPr>
          <w:rFonts w:hint="eastAsia" w:ascii="仿宋" w:hAnsi="仿宋" w:eastAsia="仿宋" w:cs="仿宋"/>
          <w:sz w:val="32"/>
          <w:szCs w:val="32"/>
        </w:rPr>
        <w:t>与区委刊物合作开设了《红色印记》栏目，并组织全馆干部积极撰写红色题材文章，目前已经将《郭亮参加南昌起义的前前后后》《贺龙与郭亮的并肩战斗》等几篇文章提交至区委政研室</w:t>
      </w:r>
      <w:r>
        <w:rPr>
          <w:rFonts w:hint="eastAsia" w:ascii="仿宋" w:hAnsi="仿宋" w:eastAsia="仿宋"/>
          <w:sz w:val="32"/>
          <w:szCs w:val="32"/>
        </w:rPr>
        <w:t>；全年档案馆接待查档人数2311人，查阅3941卷，复印18861张。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经济效益指标：促进档案、党史、地方志工作更好地为社会经济服务。通过查阅档案认定工龄、年龄、知青身份等，间接产生一定经济效益。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3.产出指标。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成本指标：档案信息化项目严格控制预算，全年支出不超预算数。档案信息化项目预算资金300万元，全年实际支出</w:t>
      </w:r>
      <w:r>
        <w:rPr>
          <w:rFonts w:hint="eastAsia" w:ascii="仿宋" w:hAnsi="仿宋" w:eastAsia="仿宋"/>
          <w:sz w:val="32"/>
          <w:szCs w:val="32"/>
          <w:lang w:val="en-US" w:eastAsia="zh-CN"/>
        </w:rPr>
        <w:t>252.3</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时效指标：2020年12月31日前完成档案馆消防改造项目。</w:t>
      </w:r>
      <w:r>
        <w:rPr>
          <w:rFonts w:hint="eastAsia" w:ascii="仿宋" w:hAnsi="仿宋" w:eastAsia="仿宋" w:cs="仿宋"/>
          <w:sz w:val="32"/>
          <w:szCs w:val="32"/>
        </w:rPr>
        <w:t>改造工程已于9月17日顺利竣工验收。</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质量指标：编纂《望城年鉴》2020卷，符合出版要求。《望城年鉴》2020卷组稿工作顺利完成，已付梓成书。</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数量指标：完成档案数字化200万页，档案管理平台上线运行。</w:t>
      </w:r>
      <w:r>
        <w:rPr>
          <w:rFonts w:hint="eastAsia" w:ascii="仿宋" w:hAnsi="仿宋" w:eastAsia="仿宋" w:cs="宋体"/>
          <w:sz w:val="32"/>
          <w:szCs w:val="32"/>
        </w:rPr>
        <w:t>数字化加工中心累计完成742万页纸质档案、29646卷和107229件档案目录的扫描，已于11月通过验收。数字档案管理平台已上线运行。</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四、存在的问题及原因分析</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预算支出执行的主要问题是实际支出数超过预算数，主要原因是区委、区政府交办的临时性、突发性工作任务，导致项目资金的追加，使实际支出数大于预算数。</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五、下一步</w:t>
      </w:r>
      <w:r>
        <w:rPr>
          <w:rFonts w:ascii="Times New Roman" w:hAnsi="Times New Roman" w:eastAsia="黑体"/>
          <w:sz w:val="32"/>
          <w:szCs w:val="32"/>
        </w:rPr>
        <w:t>改进的方向和具体措施</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（一）科学合理编制预算，严格执行预算 </w:t>
      </w:r>
    </w:p>
    <w:p>
      <w:pPr>
        <w:ind w:firstLine="640" w:firstLineChars="200"/>
        <w:jc w:val="left"/>
        <w:rPr>
          <w:rFonts w:ascii="仿宋" w:hAnsi="仿宋" w:eastAsia="仿宋"/>
          <w:sz w:val="32"/>
          <w:szCs w:val="32"/>
        </w:rPr>
      </w:pPr>
      <w:r>
        <w:rPr>
          <w:rFonts w:hint="eastAsia" w:ascii="仿宋" w:hAnsi="仿宋" w:eastAsia="仿宋"/>
          <w:sz w:val="32"/>
          <w:szCs w:val="32"/>
        </w:rPr>
        <w:t>加强预算编制的前瞻性，按照《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ind w:firstLine="640" w:firstLineChars="200"/>
        <w:rPr>
          <w:rFonts w:ascii="仿宋" w:hAnsi="仿宋" w:eastAsia="仿宋"/>
          <w:sz w:val="32"/>
          <w:szCs w:val="32"/>
        </w:rPr>
      </w:pPr>
      <w:r>
        <w:rPr>
          <w:rFonts w:hint="eastAsia" w:ascii="仿宋" w:hAnsi="仿宋" w:eastAsia="仿宋"/>
          <w:sz w:val="32"/>
          <w:szCs w:val="32"/>
        </w:rPr>
        <w:t>（二）规范账务处理，提高财务信息质量 </w:t>
      </w:r>
    </w:p>
    <w:p>
      <w:pPr>
        <w:ind w:firstLine="640" w:firstLineChars="200"/>
        <w:jc w:val="left"/>
        <w:rPr>
          <w:rFonts w:ascii="仿宋" w:hAnsi="仿宋" w:eastAsia="仿宋"/>
          <w:sz w:val="32"/>
          <w:szCs w:val="32"/>
        </w:rPr>
      </w:pPr>
      <w:r>
        <w:rPr>
          <w:rFonts w:hint="eastAsia" w:ascii="仿宋" w:hAnsi="仿宋" w:eastAsia="仿宋"/>
          <w:sz w:val="32"/>
          <w:szCs w:val="32"/>
        </w:rPr>
        <w:t>严格按照《会计法》《政府会计制度》等规定执行财务核算，并结合实际情况，完整、准确地披露相关信息，尽可能地做到决算与预算相衔接。</w:t>
      </w:r>
    </w:p>
    <w:p>
      <w:pPr>
        <w:ind w:firstLine="640" w:firstLineChars="200"/>
        <w:rPr>
          <w:rFonts w:ascii="仿宋" w:hAnsi="仿宋" w:eastAsia="仿宋"/>
          <w:sz w:val="32"/>
          <w:szCs w:val="32"/>
        </w:rPr>
      </w:pPr>
      <w:r>
        <w:rPr>
          <w:rFonts w:hint="eastAsia" w:ascii="仿宋" w:hAnsi="仿宋" w:eastAsia="仿宋"/>
          <w:sz w:val="32"/>
          <w:szCs w:val="32"/>
        </w:rPr>
        <w:t>（三）完善管理制度，进一步加强资产管理 </w:t>
      </w:r>
    </w:p>
    <w:p>
      <w:pPr>
        <w:ind w:firstLine="640" w:firstLineChars="200"/>
        <w:jc w:val="left"/>
        <w:rPr>
          <w:rFonts w:ascii="仿宋" w:hAnsi="仿宋" w:eastAsia="仿宋"/>
          <w:sz w:val="32"/>
          <w:szCs w:val="32"/>
        </w:rPr>
      </w:pPr>
      <w:r>
        <w:rPr>
          <w:rFonts w:hint="eastAsia" w:ascii="仿宋" w:hAnsi="仿宋" w:eastAsia="仿宋"/>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ind w:firstLine="640" w:firstLineChars="200"/>
        <w:rPr>
          <w:rFonts w:ascii="仿宋" w:hAnsi="仿宋" w:eastAsia="仿宋"/>
        </w:rPr>
      </w:pPr>
      <w:r>
        <w:rPr>
          <w:rFonts w:hint="eastAsia" w:ascii="仿宋" w:hAnsi="仿宋" w:eastAsia="仿宋"/>
        </w:rPr>
        <w:t>（四）加强新行政单位会计制度和新预算法学习培训 </w:t>
      </w:r>
    </w:p>
    <w:p>
      <w:pPr>
        <w:ind w:firstLine="640" w:firstLineChars="200"/>
        <w:jc w:val="left"/>
        <w:rPr>
          <w:rFonts w:ascii="仿宋" w:hAnsi="仿宋" w:eastAsia="仿宋"/>
        </w:rPr>
      </w:pPr>
      <w:r>
        <w:rPr>
          <w:rFonts w:hint="eastAsia" w:ascii="仿宋" w:hAnsi="仿宋" w:eastAsia="仿宋"/>
        </w:rPr>
        <w:t>加强新《预算法》《行政单位会计制度》等学习培训，规范部门预算收支核算，落实预算执行分析，及时了解预算执行差异，合理调整、纠正预算执行偏差，切实提高部门预算收支管理水平。</w:t>
      </w:r>
    </w:p>
    <w:p>
      <w:pPr>
        <w:adjustRightInd w:val="0"/>
        <w:snapToGrid w:val="0"/>
        <w:spacing w:line="600" w:lineRule="exact"/>
        <w:jc w:val="left"/>
        <w:rPr>
          <w:rFonts w:ascii="黑体" w:hAnsi="黑体" w:eastAsia="黑体"/>
        </w:rPr>
      </w:pPr>
    </w:p>
    <w:sectPr>
      <w:footerReference r:id="rId5" w:type="default"/>
      <w:footerReference r:id="rId6" w:type="even"/>
      <w:pgSz w:w="11906" w:h="16838"/>
      <w:pgMar w:top="1701" w:right="1587" w:bottom="1417" w:left="1701" w:header="851" w:footer="850"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7 -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8 -</w:t>
        </w:r>
        <w:r>
          <w:rPr>
            <w:rFonts w:hint="eastAsia" w:ascii="仿宋" w:hAnsi="仿宋" w:eastAsia="仿宋" w:cs="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FAE95"/>
    <w:multiLevelType w:val="singleLevel"/>
    <w:tmpl w:val="990FAE95"/>
    <w:lvl w:ilvl="0" w:tentative="0">
      <w:start w:val="1"/>
      <w:numFmt w:val="chineseCounting"/>
      <w:suff w:val="nothing"/>
      <w:lvlText w:val="%1、"/>
      <w:lvlJc w:val="left"/>
      <w:rPr>
        <w:rFonts w:hint="eastAsia"/>
      </w:rPr>
    </w:lvl>
  </w:abstractNum>
  <w:abstractNum w:abstractNumId="1">
    <w:nsid w:val="770F510E"/>
    <w:multiLevelType w:val="multilevel"/>
    <w:tmpl w:val="770F510E"/>
    <w:lvl w:ilvl="0" w:tentative="0">
      <w:start w:val="2"/>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26160"/>
    <w:rsid w:val="00050733"/>
    <w:rsid w:val="00057A74"/>
    <w:rsid w:val="00064467"/>
    <w:rsid w:val="000769DE"/>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C615A"/>
    <w:rsid w:val="001E275B"/>
    <w:rsid w:val="001E2D23"/>
    <w:rsid w:val="001E6B38"/>
    <w:rsid w:val="001F591B"/>
    <w:rsid w:val="001F7A6C"/>
    <w:rsid w:val="00225B82"/>
    <w:rsid w:val="002436E5"/>
    <w:rsid w:val="002603D7"/>
    <w:rsid w:val="0026227A"/>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B59C8"/>
    <w:rsid w:val="003D459E"/>
    <w:rsid w:val="003E2B22"/>
    <w:rsid w:val="003F52D0"/>
    <w:rsid w:val="003F7459"/>
    <w:rsid w:val="00402094"/>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55455"/>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65D0"/>
    <w:rsid w:val="006971C6"/>
    <w:rsid w:val="006D7E4D"/>
    <w:rsid w:val="006F0A44"/>
    <w:rsid w:val="006F5EBB"/>
    <w:rsid w:val="00710D95"/>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9F6517"/>
    <w:rsid w:val="009F6D82"/>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24DE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05468"/>
    <w:rsid w:val="00F06A0F"/>
    <w:rsid w:val="00F14D4B"/>
    <w:rsid w:val="00F246BC"/>
    <w:rsid w:val="00F24D5C"/>
    <w:rsid w:val="00F30595"/>
    <w:rsid w:val="00F353B4"/>
    <w:rsid w:val="00F3588E"/>
    <w:rsid w:val="00F46099"/>
    <w:rsid w:val="00F5351D"/>
    <w:rsid w:val="00F562FB"/>
    <w:rsid w:val="00F63924"/>
    <w:rsid w:val="00FB09C5"/>
    <w:rsid w:val="00FE675D"/>
    <w:rsid w:val="00FF16DB"/>
    <w:rsid w:val="018C1C2C"/>
    <w:rsid w:val="024B7610"/>
    <w:rsid w:val="02904630"/>
    <w:rsid w:val="02DF2789"/>
    <w:rsid w:val="02ED0A04"/>
    <w:rsid w:val="03044238"/>
    <w:rsid w:val="032E23EC"/>
    <w:rsid w:val="03380C16"/>
    <w:rsid w:val="03465690"/>
    <w:rsid w:val="03905C46"/>
    <w:rsid w:val="042F6008"/>
    <w:rsid w:val="047E57B2"/>
    <w:rsid w:val="056120DD"/>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0274FA"/>
    <w:rsid w:val="0E3D5C14"/>
    <w:rsid w:val="0E494602"/>
    <w:rsid w:val="0E70774D"/>
    <w:rsid w:val="0E7116F8"/>
    <w:rsid w:val="0F556186"/>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8782F90"/>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124899"/>
    <w:rsid w:val="24C92EFB"/>
    <w:rsid w:val="25057336"/>
    <w:rsid w:val="26FF47D2"/>
    <w:rsid w:val="27213B35"/>
    <w:rsid w:val="2776089C"/>
    <w:rsid w:val="27BF0D76"/>
    <w:rsid w:val="27E00EE0"/>
    <w:rsid w:val="28142779"/>
    <w:rsid w:val="2A0504A5"/>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C12F8B"/>
    <w:rsid w:val="2FF37397"/>
    <w:rsid w:val="30106775"/>
    <w:rsid w:val="30E93A29"/>
    <w:rsid w:val="31E3128D"/>
    <w:rsid w:val="322943F5"/>
    <w:rsid w:val="343E5D9D"/>
    <w:rsid w:val="34851422"/>
    <w:rsid w:val="34AA01B0"/>
    <w:rsid w:val="35171994"/>
    <w:rsid w:val="35FC0AE7"/>
    <w:rsid w:val="360E6349"/>
    <w:rsid w:val="363D3CC1"/>
    <w:rsid w:val="368B6059"/>
    <w:rsid w:val="36CD4E4A"/>
    <w:rsid w:val="382D255F"/>
    <w:rsid w:val="38E13268"/>
    <w:rsid w:val="39263987"/>
    <w:rsid w:val="398A2C9E"/>
    <w:rsid w:val="399455E7"/>
    <w:rsid w:val="3A254190"/>
    <w:rsid w:val="3A352FBB"/>
    <w:rsid w:val="3A5178B3"/>
    <w:rsid w:val="3A806E2F"/>
    <w:rsid w:val="3AA05DA1"/>
    <w:rsid w:val="3B572E86"/>
    <w:rsid w:val="3BA61585"/>
    <w:rsid w:val="3BF84B8E"/>
    <w:rsid w:val="3E047E70"/>
    <w:rsid w:val="3E1F5C22"/>
    <w:rsid w:val="3E830F89"/>
    <w:rsid w:val="3F0F71F9"/>
    <w:rsid w:val="3F4D44A2"/>
    <w:rsid w:val="400F56E1"/>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C03DD1"/>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CD43D44"/>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6E34439"/>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7C451E"/>
    <w:rsid w:val="60C33363"/>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A2961FB"/>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8129EA"/>
    <w:rsid w:val="74A34CB4"/>
    <w:rsid w:val="74BD6245"/>
    <w:rsid w:val="763B471A"/>
    <w:rsid w:val="76CB3BBF"/>
    <w:rsid w:val="77CC60FC"/>
    <w:rsid w:val="782D432B"/>
    <w:rsid w:val="7857382F"/>
    <w:rsid w:val="79907E40"/>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EDC2CA1"/>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qFormat/>
    <w:uiPriority w:val="99"/>
    <w:rPr>
      <w:rFonts w:ascii="仿宋_GB2312" w:eastAsia="仿宋_GB2312"/>
      <w:kern w:val="2"/>
      <w:sz w:val="32"/>
      <w:szCs w:val="32"/>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3346</Words>
  <Characters>180</Characters>
  <Lines>1</Lines>
  <Paragraphs>7</Paragraphs>
  <TotalTime>56</TotalTime>
  <ScaleCrop>false</ScaleCrop>
  <LinksUpToDate>false</LinksUpToDate>
  <CharactersWithSpaces>3519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姣^o^</cp:lastModifiedBy>
  <cp:lastPrinted>2021-01-29T07:57:00Z</cp:lastPrinted>
  <dcterms:modified xsi:type="dcterms:W3CDTF">2021-12-30T06:08:17Z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B2253F567F0944EF9CE2A941C18C466B</vt:lpwstr>
  </property>
</Properties>
</file>