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rPr>
          <w:rFonts w:hint="eastAsia" w:ascii="方正小标宋简体" w:hAnsi="方正小标宋简体" w:eastAsia="方正小标宋简体" w:cs="方正小标宋简体"/>
          <w:kern w:val="0"/>
          <w:sz w:val="44"/>
          <w:szCs w:val="44"/>
        </w:rPr>
      </w:pPr>
      <w:r>
        <w:rPr>
          <w:rFonts w:hint="eastAsia" w:ascii="Times New Roman" w:hAnsi="Times New Roman" w:eastAsia="楷体_GB2312"/>
          <w:kern w:val="0"/>
        </w:rPr>
        <w:t>附件</w:t>
      </w:r>
      <w:r>
        <w:rPr>
          <w:rFonts w:ascii="Times New Roman" w:hAnsi="Times New Roman" w:eastAsia="楷体_GB2312"/>
          <w:kern w:val="0"/>
        </w:rPr>
        <w:t>2</w:t>
      </w:r>
    </w:p>
    <w:p>
      <w:pPr>
        <w:spacing w:line="500" w:lineRule="exact"/>
        <w:jc w:val="left"/>
        <w:rPr>
          <w:rFonts w:hint="eastAsia" w:ascii="Times New Roman" w:hAnsi="Times New Roman" w:eastAsia="宋体"/>
          <w:kern w:val="0"/>
          <w:sz w:val="20"/>
          <w:szCs w:val="20"/>
          <w:lang w:eastAsia="zh-CN"/>
        </w:rPr>
      </w:pPr>
      <w:r>
        <w:rPr>
          <w:rFonts w:hint="eastAsia" w:ascii="方正小标宋简体" w:hAnsi="方正小标宋简体" w:eastAsia="方正小标宋简体" w:cs="方正小标宋简体"/>
          <w:kern w:val="0"/>
          <w:sz w:val="44"/>
          <w:szCs w:val="44"/>
        </w:rPr>
        <w:t>望城区2018年专项资金绩效评价自评表</w:t>
      </w:r>
      <w:r>
        <w:rPr>
          <w:rFonts w:ascii="Times New Roman" w:hAnsi="Times New Roman" w:eastAsia="方正小标宋_GBK"/>
          <w:kern w:val="0"/>
          <w:sz w:val="44"/>
          <w:szCs w:val="44"/>
        </w:rPr>
        <w:br w:type="textWrapping"/>
      </w:r>
      <w:r>
        <w:rPr>
          <w:rFonts w:hint="eastAsia" w:ascii="Times New Roman" w:hAnsi="Times New Roman" w:eastAsia="宋体"/>
          <w:kern w:val="0"/>
          <w:sz w:val="20"/>
          <w:szCs w:val="20"/>
        </w:rPr>
        <w:t>填报单位（盖章）</w:t>
      </w:r>
      <w:r>
        <w:rPr>
          <w:rFonts w:hint="eastAsia" w:ascii="Times New Roman" w:hAnsi="Times New Roman" w:eastAsia="宋体"/>
          <w:kern w:val="0"/>
          <w:sz w:val="20"/>
          <w:szCs w:val="20"/>
          <w:lang w:eastAsia="zh-CN"/>
        </w:rPr>
        <w:t>：长沙市望城区旅游局</w:t>
      </w:r>
    </w:p>
    <w:tbl>
      <w:tblPr>
        <w:tblStyle w:val="6"/>
        <w:tblW w:w="9406" w:type="dxa"/>
        <w:jc w:val="center"/>
        <w:tblInd w:w="0" w:type="dxa"/>
        <w:tblLayout w:type="fixed"/>
        <w:tblCellMar>
          <w:top w:w="0" w:type="dxa"/>
          <w:left w:w="108" w:type="dxa"/>
          <w:bottom w:w="0" w:type="dxa"/>
          <w:right w:w="108" w:type="dxa"/>
        </w:tblCellMar>
      </w:tblPr>
      <w:tblGrid>
        <w:gridCol w:w="421"/>
        <w:gridCol w:w="1000"/>
        <w:gridCol w:w="1451"/>
        <w:gridCol w:w="312"/>
        <w:gridCol w:w="2488"/>
        <w:gridCol w:w="1334"/>
        <w:gridCol w:w="1465"/>
        <w:gridCol w:w="935"/>
      </w:tblGrid>
      <w:tr>
        <w:tblPrEx>
          <w:tblLayout w:type="fixed"/>
          <w:tblCellMar>
            <w:top w:w="0" w:type="dxa"/>
            <w:left w:w="108" w:type="dxa"/>
            <w:bottom w:w="0" w:type="dxa"/>
            <w:right w:w="108" w:type="dxa"/>
          </w:tblCellMar>
        </w:tblPrEx>
        <w:trPr>
          <w:trHeight w:val="526" w:hRule="atLeast"/>
          <w:jc w:val="center"/>
        </w:trPr>
        <w:tc>
          <w:tcPr>
            <w:tcW w:w="142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黑体"/>
                <w:kern w:val="0"/>
                <w:sz w:val="21"/>
                <w:szCs w:val="21"/>
              </w:rPr>
            </w:pPr>
            <w:r>
              <w:rPr>
                <w:rFonts w:hint="eastAsia" w:ascii="Times New Roman" w:hAnsi="Times New Roman" w:eastAsia="黑体"/>
                <w:kern w:val="0"/>
                <w:sz w:val="21"/>
                <w:szCs w:val="21"/>
              </w:rPr>
              <w:t>专项名称</w:t>
            </w:r>
          </w:p>
        </w:tc>
        <w:tc>
          <w:tcPr>
            <w:tcW w:w="1763"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hint="eastAsia" w:ascii="Times New Roman" w:hAnsi="Times New Roman" w:eastAsia="宋体"/>
                <w:kern w:val="0"/>
                <w:sz w:val="21"/>
                <w:szCs w:val="21"/>
                <w:lang w:eastAsia="zh-CN"/>
              </w:rPr>
            </w:pPr>
            <w:r>
              <w:rPr>
                <w:rFonts w:hint="eastAsia" w:ascii="Times New Roman" w:hAnsi="Times New Roman" w:eastAsia="宋体"/>
                <w:kern w:val="0"/>
                <w:sz w:val="21"/>
                <w:szCs w:val="21"/>
              </w:rPr>
              <w:t>　</w:t>
            </w:r>
            <w:r>
              <w:rPr>
                <w:rFonts w:hint="eastAsia" w:ascii="Times New Roman" w:hAnsi="Times New Roman" w:eastAsia="宋体"/>
                <w:kern w:val="0"/>
                <w:sz w:val="21"/>
                <w:szCs w:val="21"/>
                <w:lang w:eastAsia="zh-CN"/>
              </w:rPr>
              <w:t>旅游专项</w:t>
            </w:r>
          </w:p>
        </w:tc>
        <w:tc>
          <w:tcPr>
            <w:tcW w:w="2488"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eastAsia="黑体"/>
                <w:kern w:val="0"/>
                <w:sz w:val="21"/>
                <w:szCs w:val="21"/>
              </w:rPr>
            </w:pPr>
            <w:r>
              <w:rPr>
                <w:rFonts w:hint="eastAsia" w:ascii="Times New Roman" w:hAnsi="Times New Roman" w:eastAsia="黑体"/>
                <w:kern w:val="0"/>
                <w:sz w:val="21"/>
                <w:szCs w:val="21"/>
              </w:rPr>
              <w:t>专项属性</w:t>
            </w:r>
          </w:p>
        </w:tc>
        <w:tc>
          <w:tcPr>
            <w:tcW w:w="3734"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宋体"/>
                <w:kern w:val="0"/>
                <w:sz w:val="21"/>
                <w:szCs w:val="21"/>
              </w:rPr>
            </w:pPr>
            <w:r>
              <w:rPr>
                <w:rFonts w:hint="eastAsia" w:ascii="Times New Roman" w:hAnsi="Times New Roman" w:eastAsia="宋体"/>
                <w:kern w:val="0"/>
                <w:sz w:val="21"/>
                <w:szCs w:val="21"/>
              </w:rPr>
              <w:t>延续专项</w:t>
            </w:r>
            <w:r>
              <w:rPr>
                <w:rFonts w:ascii="Times New Roman" w:hAnsi="Times New Roman" w:eastAsia="宋体"/>
                <w:kern w:val="0"/>
                <w:sz w:val="21"/>
                <w:szCs w:val="21"/>
                <w:shd w:val="clear" w:fill="000000" w:themeFill="text1"/>
              </w:rPr>
              <w:t>□</w:t>
            </w:r>
            <w:r>
              <w:rPr>
                <w:rFonts w:ascii="Times New Roman" w:hAnsi="Times New Roman" w:eastAsia="宋体"/>
                <w:kern w:val="0"/>
                <w:sz w:val="21"/>
                <w:szCs w:val="21"/>
              </w:rPr>
              <w:t xml:space="preserve">     </w:t>
            </w:r>
            <w:r>
              <w:rPr>
                <w:rFonts w:hint="eastAsia" w:ascii="宋体" w:hAnsi="宋体" w:eastAsia="宋体"/>
                <w:kern w:val="0"/>
                <w:sz w:val="21"/>
                <w:szCs w:val="21"/>
              </w:rPr>
              <w:t>新增专项</w:t>
            </w:r>
            <w:r>
              <w:rPr>
                <w:rFonts w:ascii="Times New Roman" w:hAnsi="Times New Roman" w:eastAsia="宋体"/>
                <w:kern w:val="0"/>
                <w:sz w:val="21"/>
                <w:szCs w:val="21"/>
              </w:rPr>
              <w:t xml:space="preserve">□    </w:t>
            </w:r>
          </w:p>
        </w:tc>
      </w:tr>
      <w:tr>
        <w:tblPrEx>
          <w:tblLayout w:type="fixed"/>
          <w:tblCellMar>
            <w:top w:w="0" w:type="dxa"/>
            <w:left w:w="108" w:type="dxa"/>
            <w:bottom w:w="0" w:type="dxa"/>
            <w:right w:w="108" w:type="dxa"/>
          </w:tblCellMar>
        </w:tblPrEx>
        <w:trPr>
          <w:trHeight w:val="559" w:hRule="atLeast"/>
          <w:jc w:val="center"/>
        </w:trPr>
        <w:tc>
          <w:tcPr>
            <w:tcW w:w="1421" w:type="dxa"/>
            <w:gridSpan w:val="2"/>
            <w:vMerge w:val="restart"/>
            <w:tcBorders>
              <w:top w:val="single" w:color="auto" w:sz="4" w:space="0"/>
              <w:left w:val="single" w:color="auto" w:sz="4" w:space="0"/>
              <w:right w:val="single" w:color="auto" w:sz="4" w:space="0"/>
            </w:tcBorders>
            <w:vAlign w:val="center"/>
          </w:tcPr>
          <w:p>
            <w:pPr>
              <w:widowControl/>
              <w:spacing w:line="280" w:lineRule="exact"/>
              <w:jc w:val="center"/>
              <w:rPr>
                <w:rFonts w:ascii="Times New Roman" w:hAnsi="Times New Roman" w:eastAsia="黑体"/>
                <w:kern w:val="0"/>
                <w:sz w:val="21"/>
                <w:szCs w:val="21"/>
              </w:rPr>
            </w:pPr>
            <w:r>
              <w:rPr>
                <w:rFonts w:hint="eastAsia" w:ascii="Times New Roman" w:hAnsi="Times New Roman" w:eastAsia="黑体"/>
                <w:kern w:val="0"/>
                <w:sz w:val="21"/>
                <w:szCs w:val="21"/>
              </w:rPr>
              <w:t>部门名称</w:t>
            </w:r>
          </w:p>
        </w:tc>
        <w:tc>
          <w:tcPr>
            <w:tcW w:w="1763" w:type="dxa"/>
            <w:gridSpan w:val="2"/>
            <w:vMerge w:val="restart"/>
            <w:tcBorders>
              <w:top w:val="single" w:color="auto" w:sz="4" w:space="0"/>
              <w:left w:val="nil"/>
              <w:right w:val="single" w:color="auto" w:sz="4" w:space="0"/>
            </w:tcBorders>
            <w:vAlign w:val="center"/>
          </w:tcPr>
          <w:p>
            <w:pPr>
              <w:widowControl/>
              <w:spacing w:line="280" w:lineRule="exact"/>
              <w:jc w:val="center"/>
              <w:rPr>
                <w:rFonts w:ascii="Times New Roman" w:hAnsi="Times New Roman" w:eastAsia="宋体"/>
                <w:kern w:val="0"/>
                <w:sz w:val="21"/>
                <w:szCs w:val="21"/>
              </w:rPr>
            </w:pPr>
            <w:r>
              <w:rPr>
                <w:rFonts w:hint="eastAsia" w:ascii="Times New Roman" w:hAnsi="Times New Roman" w:eastAsia="宋体"/>
                <w:kern w:val="0"/>
                <w:sz w:val="21"/>
                <w:szCs w:val="21"/>
                <w:lang w:eastAsia="zh-CN"/>
              </w:rPr>
              <w:t>长沙市望城区旅游局</w:t>
            </w:r>
            <w:r>
              <w:rPr>
                <w:rFonts w:hint="eastAsia" w:ascii="Times New Roman" w:hAnsi="Times New Roman" w:eastAsia="宋体"/>
                <w:kern w:val="0"/>
                <w:sz w:val="21"/>
                <w:szCs w:val="21"/>
              </w:rPr>
              <w:t>　</w:t>
            </w:r>
          </w:p>
        </w:tc>
        <w:tc>
          <w:tcPr>
            <w:tcW w:w="2488"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eastAsia="黑体"/>
                <w:kern w:val="0"/>
                <w:sz w:val="21"/>
                <w:szCs w:val="21"/>
              </w:rPr>
            </w:pPr>
            <w:r>
              <w:rPr>
                <w:rFonts w:hint="eastAsia" w:ascii="Times New Roman" w:hAnsi="Times New Roman" w:eastAsia="黑体"/>
                <w:kern w:val="0"/>
                <w:sz w:val="21"/>
                <w:szCs w:val="21"/>
              </w:rPr>
              <w:t>年初预算安排资金总额（万元）</w:t>
            </w:r>
          </w:p>
        </w:tc>
        <w:tc>
          <w:tcPr>
            <w:tcW w:w="3734"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宋体"/>
                <w:kern w:val="0"/>
                <w:sz w:val="21"/>
                <w:szCs w:val="21"/>
                <w:lang w:val="en-US" w:eastAsia="zh-CN"/>
              </w:rPr>
            </w:pPr>
            <w:r>
              <w:rPr>
                <w:rFonts w:hint="eastAsia" w:ascii="Times New Roman" w:hAnsi="Times New Roman" w:eastAsia="宋体"/>
                <w:kern w:val="0"/>
                <w:sz w:val="21"/>
                <w:szCs w:val="21"/>
                <w:lang w:val="en-US" w:eastAsia="zh-CN"/>
              </w:rPr>
              <w:t>1000</w:t>
            </w:r>
          </w:p>
        </w:tc>
      </w:tr>
      <w:tr>
        <w:tblPrEx>
          <w:tblLayout w:type="fixed"/>
          <w:tblCellMar>
            <w:top w:w="0" w:type="dxa"/>
            <w:left w:w="108" w:type="dxa"/>
            <w:bottom w:w="0" w:type="dxa"/>
            <w:right w:w="108" w:type="dxa"/>
          </w:tblCellMar>
        </w:tblPrEx>
        <w:trPr>
          <w:trHeight w:val="560" w:hRule="atLeast"/>
          <w:jc w:val="center"/>
        </w:trPr>
        <w:tc>
          <w:tcPr>
            <w:tcW w:w="1421" w:type="dxa"/>
            <w:gridSpan w:val="2"/>
            <w:vMerge w:val="continue"/>
            <w:tcBorders>
              <w:left w:val="single" w:color="auto" w:sz="4" w:space="0"/>
              <w:bottom w:val="single" w:color="auto" w:sz="4" w:space="0"/>
              <w:right w:val="single" w:color="auto" w:sz="4" w:space="0"/>
            </w:tcBorders>
            <w:vAlign w:val="center"/>
          </w:tcPr>
          <w:p>
            <w:pPr>
              <w:widowControl/>
              <w:spacing w:line="280" w:lineRule="exact"/>
              <w:jc w:val="center"/>
              <w:rPr>
                <w:rFonts w:hint="eastAsia" w:ascii="Times New Roman" w:hAnsi="Times New Roman" w:eastAsia="黑体"/>
                <w:kern w:val="0"/>
                <w:sz w:val="21"/>
                <w:szCs w:val="21"/>
              </w:rPr>
            </w:pPr>
          </w:p>
        </w:tc>
        <w:tc>
          <w:tcPr>
            <w:tcW w:w="1763" w:type="dxa"/>
            <w:gridSpan w:val="2"/>
            <w:vMerge w:val="continue"/>
            <w:tcBorders>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宋体"/>
                <w:kern w:val="0"/>
                <w:sz w:val="21"/>
                <w:szCs w:val="21"/>
              </w:rPr>
            </w:pPr>
          </w:p>
        </w:tc>
        <w:tc>
          <w:tcPr>
            <w:tcW w:w="2488"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黑体"/>
                <w:kern w:val="0"/>
                <w:sz w:val="21"/>
                <w:szCs w:val="21"/>
              </w:rPr>
            </w:pPr>
            <w:r>
              <w:rPr>
                <w:rFonts w:hint="eastAsia" w:ascii="Times New Roman" w:hAnsi="Times New Roman" w:eastAsia="黑体"/>
                <w:kern w:val="0"/>
                <w:sz w:val="21"/>
                <w:szCs w:val="21"/>
              </w:rPr>
              <w:t>预算执行数（万元）</w:t>
            </w:r>
          </w:p>
        </w:tc>
        <w:tc>
          <w:tcPr>
            <w:tcW w:w="3734"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Times New Roman" w:hAnsi="Times New Roman" w:eastAsia="宋体"/>
                <w:kern w:val="0"/>
                <w:sz w:val="21"/>
                <w:szCs w:val="21"/>
                <w:lang w:val="en-US" w:eastAsia="zh-CN"/>
              </w:rPr>
            </w:pPr>
            <w:r>
              <w:rPr>
                <w:rFonts w:hint="eastAsia" w:ascii="Times New Roman" w:hAnsi="Times New Roman" w:eastAsia="宋体"/>
                <w:kern w:val="0"/>
                <w:sz w:val="21"/>
                <w:szCs w:val="21"/>
                <w:lang w:val="en-US" w:eastAsia="zh-CN"/>
              </w:rPr>
              <w:t>788.58</w:t>
            </w:r>
          </w:p>
        </w:tc>
      </w:tr>
      <w:tr>
        <w:tblPrEx>
          <w:tblLayout w:type="fixed"/>
          <w:tblCellMar>
            <w:top w:w="0" w:type="dxa"/>
            <w:left w:w="108" w:type="dxa"/>
            <w:bottom w:w="0" w:type="dxa"/>
            <w:right w:w="108" w:type="dxa"/>
          </w:tblCellMar>
        </w:tblPrEx>
        <w:trPr>
          <w:trHeight w:val="1506" w:hRule="atLeast"/>
          <w:jc w:val="center"/>
        </w:trPr>
        <w:tc>
          <w:tcPr>
            <w:tcW w:w="142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hAnsi="Times New Roman" w:eastAsia="黑体"/>
                <w:kern w:val="0"/>
                <w:sz w:val="21"/>
                <w:szCs w:val="21"/>
              </w:rPr>
            </w:pPr>
            <w:r>
              <w:rPr>
                <w:rFonts w:hint="eastAsia" w:ascii="黑体" w:hAnsi="Times New Roman" w:eastAsia="黑体"/>
                <w:kern w:val="0"/>
                <w:sz w:val="21"/>
                <w:szCs w:val="21"/>
              </w:rPr>
              <w:t>部门相应职能职责概述</w:t>
            </w:r>
          </w:p>
        </w:tc>
        <w:tc>
          <w:tcPr>
            <w:tcW w:w="7985" w:type="dxa"/>
            <w:gridSpan w:val="6"/>
            <w:tcBorders>
              <w:top w:val="single" w:color="auto" w:sz="4" w:space="0"/>
              <w:left w:val="nil"/>
              <w:bottom w:val="single" w:color="auto" w:sz="4" w:space="0"/>
              <w:right w:val="single" w:color="auto" w:sz="4" w:space="0"/>
            </w:tcBorders>
            <w:vAlign w:val="center"/>
          </w:tcPr>
          <w:p>
            <w:pPr>
              <w:widowControl/>
              <w:spacing w:line="2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主要负责贯彻执行国家旅游业发展的方针、政策和法规；组织全区旅游中长期发展规划的编制和区域旅游形象的对外宣传；负责旅游项目的申报、管理和</w:t>
            </w:r>
            <w:r>
              <w:rPr>
                <w:rFonts w:hint="eastAsia" w:ascii="宋体" w:hAnsi="宋体" w:eastAsia="宋体" w:cs="宋体"/>
                <w:kern w:val="0"/>
                <w:sz w:val="21"/>
                <w:szCs w:val="21"/>
                <w:lang w:eastAsia="zh-CN"/>
              </w:rPr>
              <w:t>服务</w:t>
            </w:r>
            <w:r>
              <w:rPr>
                <w:rFonts w:hint="eastAsia" w:ascii="宋体" w:hAnsi="宋体" w:eastAsia="宋体" w:cs="宋体"/>
                <w:kern w:val="0"/>
                <w:sz w:val="21"/>
                <w:szCs w:val="21"/>
              </w:rPr>
              <w:t>；组织实施国家确定的各类旅游景区（点）、旅游住宿、旅行社的设施服务标准；指导全区旅游产品开发和旅游景区(点)质量等级评定工作；监督检查全区旅游市场秩序和服务质量。</w:t>
            </w:r>
          </w:p>
        </w:tc>
      </w:tr>
      <w:tr>
        <w:tblPrEx>
          <w:tblLayout w:type="fixed"/>
          <w:tblCellMar>
            <w:top w:w="0" w:type="dxa"/>
            <w:left w:w="108" w:type="dxa"/>
            <w:bottom w:w="0" w:type="dxa"/>
            <w:right w:w="108" w:type="dxa"/>
          </w:tblCellMar>
        </w:tblPrEx>
        <w:trPr>
          <w:trHeight w:val="814" w:hRule="atLeast"/>
          <w:jc w:val="center"/>
        </w:trPr>
        <w:tc>
          <w:tcPr>
            <w:tcW w:w="142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黑体" w:hAnsi="Times New Roman" w:eastAsia="黑体"/>
                <w:kern w:val="0"/>
                <w:sz w:val="21"/>
                <w:szCs w:val="21"/>
              </w:rPr>
            </w:pPr>
            <w:r>
              <w:rPr>
                <w:rFonts w:hint="eastAsia" w:ascii="黑体" w:hAnsi="Times New Roman" w:eastAsia="黑体"/>
                <w:kern w:val="0"/>
                <w:sz w:val="21"/>
                <w:szCs w:val="21"/>
              </w:rPr>
              <w:t>专项立项</w:t>
            </w:r>
          </w:p>
          <w:p>
            <w:pPr>
              <w:widowControl/>
              <w:spacing w:line="280" w:lineRule="exact"/>
              <w:jc w:val="center"/>
              <w:rPr>
                <w:rFonts w:ascii="黑体" w:hAnsi="Times New Roman" w:eastAsia="黑体"/>
                <w:kern w:val="0"/>
                <w:sz w:val="21"/>
                <w:szCs w:val="21"/>
              </w:rPr>
            </w:pPr>
            <w:r>
              <w:rPr>
                <w:rFonts w:hint="eastAsia" w:ascii="黑体" w:hAnsi="Times New Roman" w:eastAsia="黑体"/>
                <w:kern w:val="0"/>
                <w:sz w:val="21"/>
                <w:szCs w:val="21"/>
              </w:rPr>
              <w:t>依据</w:t>
            </w:r>
          </w:p>
        </w:tc>
        <w:tc>
          <w:tcPr>
            <w:tcW w:w="7985" w:type="dxa"/>
            <w:gridSpan w:val="6"/>
            <w:tcBorders>
              <w:top w:val="single" w:color="auto" w:sz="4" w:space="0"/>
              <w:left w:val="nil"/>
              <w:bottom w:val="single" w:color="auto" w:sz="4" w:space="0"/>
              <w:right w:val="single" w:color="auto" w:sz="4" w:space="0"/>
            </w:tcBorders>
            <w:vAlign w:val="center"/>
          </w:tcPr>
          <w:p>
            <w:pPr>
              <w:spacing w:line="240" w:lineRule="auto"/>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会议纪要。长发[2012]9号：明确各区（县）也要设立旅游发展专项资金，区不少于500万元，县（市）不少于1000万元。</w:t>
            </w:r>
          </w:p>
        </w:tc>
      </w:tr>
      <w:tr>
        <w:tblPrEx>
          <w:tblLayout w:type="fixed"/>
          <w:tblCellMar>
            <w:top w:w="0" w:type="dxa"/>
            <w:left w:w="108" w:type="dxa"/>
            <w:bottom w:w="0" w:type="dxa"/>
            <w:right w:w="108" w:type="dxa"/>
          </w:tblCellMar>
        </w:tblPrEx>
        <w:trPr>
          <w:trHeight w:val="493" w:hRule="atLeast"/>
          <w:jc w:val="center"/>
        </w:trPr>
        <w:tc>
          <w:tcPr>
            <w:tcW w:w="1421" w:type="dxa"/>
            <w:gridSpan w:val="2"/>
            <w:vMerge w:val="restart"/>
            <w:tcBorders>
              <w:top w:val="nil"/>
              <w:left w:val="single" w:color="auto" w:sz="4" w:space="0"/>
              <w:right w:val="single" w:color="auto" w:sz="4" w:space="0"/>
            </w:tcBorders>
            <w:vAlign w:val="center"/>
          </w:tcPr>
          <w:p>
            <w:pPr>
              <w:widowControl/>
              <w:spacing w:line="280" w:lineRule="exact"/>
              <w:jc w:val="center"/>
              <w:rPr>
                <w:rFonts w:ascii="Times New Roman" w:hAnsi="Times New Roman" w:eastAsia="黑体"/>
                <w:kern w:val="0"/>
                <w:sz w:val="21"/>
                <w:szCs w:val="21"/>
              </w:rPr>
            </w:pPr>
            <w:r>
              <w:rPr>
                <w:rFonts w:hint="eastAsia" w:ascii="Times New Roman" w:hAnsi="Times New Roman" w:eastAsia="黑体"/>
                <w:kern w:val="0"/>
                <w:sz w:val="21"/>
                <w:szCs w:val="21"/>
              </w:rPr>
              <w:t>专项实施进度计划</w:t>
            </w:r>
          </w:p>
        </w:tc>
        <w:tc>
          <w:tcPr>
            <w:tcW w:w="145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eastAsia="宋体"/>
                <w:kern w:val="0"/>
                <w:sz w:val="18"/>
                <w:szCs w:val="18"/>
              </w:rPr>
            </w:pPr>
            <w:r>
              <w:rPr>
                <w:rFonts w:hint="eastAsia" w:ascii="Times New Roman" w:hAnsi="Times New Roman" w:eastAsia="宋体" w:cs="Times New Roman"/>
                <w:kern w:val="0"/>
                <w:sz w:val="21"/>
                <w:szCs w:val="21"/>
              </w:rPr>
              <w:t>专项实施内容</w:t>
            </w:r>
          </w:p>
        </w:tc>
        <w:tc>
          <w:tcPr>
            <w:tcW w:w="280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eastAsia="宋体"/>
                <w:kern w:val="0"/>
                <w:sz w:val="21"/>
                <w:szCs w:val="21"/>
              </w:rPr>
            </w:pPr>
            <w:r>
              <w:rPr>
                <w:rFonts w:hint="eastAsia" w:ascii="Times New Roman" w:hAnsi="Times New Roman" w:eastAsia="宋体"/>
                <w:kern w:val="0"/>
                <w:sz w:val="21"/>
                <w:szCs w:val="21"/>
              </w:rPr>
              <w:t>计划开始时间</w:t>
            </w:r>
          </w:p>
        </w:tc>
        <w:tc>
          <w:tcPr>
            <w:tcW w:w="3734"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宋体"/>
                <w:kern w:val="0"/>
                <w:sz w:val="21"/>
                <w:szCs w:val="21"/>
              </w:rPr>
            </w:pPr>
            <w:r>
              <w:rPr>
                <w:rFonts w:hint="eastAsia" w:ascii="Times New Roman" w:hAnsi="Times New Roman" w:eastAsia="宋体"/>
                <w:kern w:val="0"/>
                <w:sz w:val="21"/>
                <w:szCs w:val="21"/>
              </w:rPr>
              <w:t>计划完成时间</w:t>
            </w:r>
          </w:p>
        </w:tc>
      </w:tr>
      <w:tr>
        <w:tblPrEx>
          <w:tblLayout w:type="fixed"/>
          <w:tblCellMar>
            <w:top w:w="0" w:type="dxa"/>
            <w:left w:w="108" w:type="dxa"/>
            <w:bottom w:w="0" w:type="dxa"/>
            <w:right w:w="108" w:type="dxa"/>
          </w:tblCellMar>
        </w:tblPrEx>
        <w:trPr>
          <w:trHeight w:val="479" w:hRule="atLeast"/>
          <w:jc w:val="center"/>
        </w:trPr>
        <w:tc>
          <w:tcPr>
            <w:tcW w:w="1421" w:type="dxa"/>
            <w:gridSpan w:val="2"/>
            <w:vMerge w:val="continue"/>
            <w:tcBorders>
              <w:left w:val="single" w:color="auto" w:sz="4" w:space="0"/>
              <w:right w:val="single" w:color="auto" w:sz="4" w:space="0"/>
            </w:tcBorders>
            <w:vAlign w:val="center"/>
          </w:tcPr>
          <w:p>
            <w:pPr>
              <w:widowControl/>
              <w:spacing w:line="240" w:lineRule="auto"/>
              <w:jc w:val="left"/>
              <w:rPr>
                <w:rFonts w:ascii="Times New Roman" w:hAnsi="Times New Roman" w:eastAsia="黑体"/>
                <w:kern w:val="0"/>
                <w:sz w:val="21"/>
                <w:szCs w:val="21"/>
              </w:rPr>
            </w:pPr>
          </w:p>
        </w:tc>
        <w:tc>
          <w:tcPr>
            <w:tcW w:w="1451"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宋体" w:cs="Times New Roman"/>
                <w:kern w:val="0"/>
                <w:sz w:val="21"/>
                <w:szCs w:val="21"/>
              </w:rPr>
            </w:pPr>
            <w:r>
              <w:rPr>
                <w:rFonts w:hint="eastAsia" w:ascii="Times New Roman" w:hAnsi="Times New Roman" w:eastAsia="宋体" w:cs="Times New Roman"/>
                <w:kern w:val="0"/>
                <w:sz w:val="21"/>
                <w:szCs w:val="21"/>
              </w:rPr>
              <w:t>1、</w:t>
            </w:r>
            <w:r>
              <w:rPr>
                <w:rFonts w:hint="eastAsia" w:ascii="Times New Roman" w:hAnsi="Times New Roman" w:eastAsia="宋体" w:cs="Times New Roman"/>
                <w:kern w:val="0"/>
                <w:sz w:val="21"/>
                <w:szCs w:val="21"/>
                <w:lang w:eastAsia="zh-CN"/>
              </w:rPr>
              <w:t>旅游营销</w:t>
            </w:r>
          </w:p>
        </w:tc>
        <w:tc>
          <w:tcPr>
            <w:tcW w:w="280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宋体" w:cs="Times New Roman"/>
                <w:kern w:val="0"/>
                <w:sz w:val="21"/>
                <w:szCs w:val="21"/>
              </w:rPr>
            </w:pPr>
            <w:r>
              <w:rPr>
                <w:rFonts w:hint="eastAsia" w:ascii="Times New Roman" w:hAnsi="Times New Roman" w:eastAsia="宋体" w:cs="Times New Roman"/>
                <w:kern w:val="0"/>
                <w:sz w:val="21"/>
                <w:szCs w:val="21"/>
                <w:lang w:val="en-US" w:eastAsia="zh-CN"/>
              </w:rPr>
              <w:t>2018.1.1</w:t>
            </w:r>
            <w:r>
              <w:rPr>
                <w:rFonts w:hint="eastAsia" w:ascii="Times New Roman" w:hAnsi="Times New Roman" w:eastAsia="宋体" w:cs="Times New Roman"/>
                <w:kern w:val="0"/>
                <w:sz w:val="21"/>
                <w:szCs w:val="21"/>
              </w:rPr>
              <w:t>　</w:t>
            </w:r>
          </w:p>
        </w:tc>
        <w:tc>
          <w:tcPr>
            <w:tcW w:w="3734"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宋体" w:cs="Times New Roman"/>
                <w:kern w:val="0"/>
                <w:sz w:val="21"/>
                <w:szCs w:val="21"/>
              </w:rPr>
            </w:pPr>
            <w:r>
              <w:rPr>
                <w:rFonts w:hint="eastAsia" w:ascii="Times New Roman" w:hAnsi="Times New Roman" w:eastAsia="宋体" w:cs="Times New Roman"/>
                <w:kern w:val="0"/>
                <w:sz w:val="21"/>
                <w:szCs w:val="21"/>
                <w:lang w:val="en-US" w:eastAsia="zh-CN"/>
              </w:rPr>
              <w:t>2018.12.31</w:t>
            </w:r>
            <w:r>
              <w:rPr>
                <w:rFonts w:hint="eastAsia" w:ascii="Times New Roman" w:hAnsi="Times New Roman" w:eastAsia="宋体" w:cs="Times New Roman"/>
                <w:kern w:val="0"/>
                <w:sz w:val="21"/>
                <w:szCs w:val="21"/>
              </w:rPr>
              <w:t>　</w:t>
            </w:r>
          </w:p>
        </w:tc>
      </w:tr>
      <w:tr>
        <w:tblPrEx>
          <w:tblLayout w:type="fixed"/>
          <w:tblCellMar>
            <w:top w:w="0" w:type="dxa"/>
            <w:left w:w="108" w:type="dxa"/>
            <w:bottom w:w="0" w:type="dxa"/>
            <w:right w:w="108" w:type="dxa"/>
          </w:tblCellMar>
        </w:tblPrEx>
        <w:trPr>
          <w:trHeight w:val="555" w:hRule="atLeast"/>
          <w:jc w:val="center"/>
        </w:trPr>
        <w:tc>
          <w:tcPr>
            <w:tcW w:w="1421" w:type="dxa"/>
            <w:gridSpan w:val="2"/>
            <w:vMerge w:val="continue"/>
            <w:tcBorders>
              <w:left w:val="single" w:color="auto" w:sz="4" w:space="0"/>
              <w:right w:val="single" w:color="auto" w:sz="4" w:space="0"/>
            </w:tcBorders>
            <w:vAlign w:val="center"/>
          </w:tcPr>
          <w:p>
            <w:pPr>
              <w:widowControl/>
              <w:spacing w:line="240" w:lineRule="auto"/>
              <w:jc w:val="left"/>
              <w:rPr>
                <w:rFonts w:ascii="Times New Roman" w:hAnsi="Times New Roman" w:eastAsia="黑体"/>
                <w:kern w:val="0"/>
                <w:sz w:val="21"/>
                <w:szCs w:val="21"/>
              </w:rPr>
            </w:pPr>
          </w:p>
        </w:tc>
        <w:tc>
          <w:tcPr>
            <w:tcW w:w="1451"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宋体" w:cs="Times New Roman"/>
                <w:kern w:val="0"/>
                <w:sz w:val="21"/>
                <w:szCs w:val="21"/>
              </w:rPr>
            </w:pPr>
            <w:r>
              <w:rPr>
                <w:rFonts w:hint="eastAsia" w:ascii="Times New Roman" w:hAnsi="Times New Roman" w:eastAsia="宋体" w:cs="Times New Roman"/>
                <w:kern w:val="0"/>
                <w:sz w:val="21"/>
                <w:szCs w:val="21"/>
              </w:rPr>
              <w:t>2、</w:t>
            </w:r>
            <w:r>
              <w:rPr>
                <w:rFonts w:hint="eastAsia" w:ascii="Times New Roman" w:hAnsi="Times New Roman" w:eastAsia="宋体" w:cs="Times New Roman"/>
                <w:kern w:val="0"/>
                <w:sz w:val="21"/>
                <w:szCs w:val="21"/>
                <w:lang w:eastAsia="zh-CN"/>
              </w:rPr>
              <w:t>旅游招商</w:t>
            </w:r>
          </w:p>
        </w:tc>
        <w:tc>
          <w:tcPr>
            <w:tcW w:w="280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宋体" w:cs="Times New Roman"/>
                <w:kern w:val="0"/>
                <w:sz w:val="21"/>
                <w:szCs w:val="21"/>
              </w:rPr>
            </w:pPr>
            <w:r>
              <w:rPr>
                <w:rFonts w:hint="eastAsia" w:ascii="Times New Roman" w:hAnsi="Times New Roman" w:eastAsia="宋体" w:cs="Times New Roman"/>
                <w:kern w:val="0"/>
                <w:sz w:val="21"/>
                <w:szCs w:val="21"/>
                <w:lang w:val="en-US" w:eastAsia="zh-CN"/>
              </w:rPr>
              <w:t>2018.1.1</w:t>
            </w:r>
            <w:r>
              <w:rPr>
                <w:rFonts w:hint="eastAsia" w:ascii="Times New Roman" w:hAnsi="Times New Roman" w:eastAsia="宋体" w:cs="Times New Roman"/>
                <w:kern w:val="0"/>
                <w:sz w:val="21"/>
                <w:szCs w:val="21"/>
              </w:rPr>
              <w:t>　</w:t>
            </w:r>
          </w:p>
        </w:tc>
        <w:tc>
          <w:tcPr>
            <w:tcW w:w="3734"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宋体" w:cs="Times New Roman"/>
                <w:kern w:val="0"/>
                <w:sz w:val="21"/>
                <w:szCs w:val="21"/>
              </w:rPr>
            </w:pPr>
            <w:r>
              <w:rPr>
                <w:rFonts w:hint="eastAsia" w:ascii="Times New Roman" w:hAnsi="Times New Roman" w:eastAsia="宋体" w:cs="Times New Roman"/>
                <w:kern w:val="0"/>
                <w:sz w:val="21"/>
                <w:szCs w:val="21"/>
                <w:lang w:val="en-US" w:eastAsia="zh-CN"/>
              </w:rPr>
              <w:t>2018.12.31</w:t>
            </w:r>
            <w:r>
              <w:rPr>
                <w:rFonts w:hint="eastAsia" w:ascii="Times New Roman" w:hAnsi="Times New Roman" w:eastAsia="宋体" w:cs="Times New Roman"/>
                <w:kern w:val="0"/>
                <w:sz w:val="21"/>
                <w:szCs w:val="21"/>
              </w:rPr>
              <w:t>　</w:t>
            </w:r>
          </w:p>
        </w:tc>
      </w:tr>
      <w:tr>
        <w:tblPrEx>
          <w:tblLayout w:type="fixed"/>
          <w:tblCellMar>
            <w:top w:w="0" w:type="dxa"/>
            <w:left w:w="108" w:type="dxa"/>
            <w:bottom w:w="0" w:type="dxa"/>
            <w:right w:w="108" w:type="dxa"/>
          </w:tblCellMar>
        </w:tblPrEx>
        <w:trPr>
          <w:trHeight w:val="950" w:hRule="atLeast"/>
          <w:jc w:val="center"/>
        </w:trPr>
        <w:tc>
          <w:tcPr>
            <w:tcW w:w="1421" w:type="dxa"/>
            <w:gridSpan w:val="2"/>
            <w:vMerge w:val="continue"/>
            <w:tcBorders>
              <w:left w:val="single" w:color="auto" w:sz="4" w:space="0"/>
              <w:right w:val="single" w:color="auto" w:sz="4" w:space="0"/>
            </w:tcBorders>
            <w:vAlign w:val="center"/>
          </w:tcPr>
          <w:p>
            <w:pPr>
              <w:widowControl/>
              <w:spacing w:line="240" w:lineRule="auto"/>
              <w:jc w:val="left"/>
              <w:rPr>
                <w:rFonts w:ascii="Times New Roman" w:hAnsi="Times New Roman" w:eastAsia="黑体"/>
                <w:kern w:val="0"/>
                <w:sz w:val="21"/>
                <w:szCs w:val="21"/>
              </w:rPr>
            </w:pPr>
          </w:p>
        </w:tc>
        <w:tc>
          <w:tcPr>
            <w:tcW w:w="1451"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宋体" w:cs="Times New Roman"/>
                <w:kern w:val="0"/>
                <w:sz w:val="21"/>
                <w:szCs w:val="21"/>
              </w:rPr>
            </w:pPr>
            <w:r>
              <w:rPr>
                <w:rFonts w:hint="eastAsia" w:ascii="Times New Roman" w:hAnsi="Times New Roman" w:eastAsia="宋体" w:cs="Times New Roman"/>
                <w:kern w:val="0"/>
                <w:sz w:val="21"/>
                <w:szCs w:val="21"/>
                <w:lang w:val="en-US" w:eastAsia="zh-CN"/>
              </w:rPr>
              <w:t>3、旅游公共服务体系和新业态建设扶持项目申报</w:t>
            </w:r>
          </w:p>
        </w:tc>
        <w:tc>
          <w:tcPr>
            <w:tcW w:w="280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宋体" w:cs="Times New Roman"/>
                <w:kern w:val="0"/>
                <w:sz w:val="21"/>
                <w:szCs w:val="21"/>
              </w:rPr>
            </w:pPr>
            <w:r>
              <w:rPr>
                <w:rFonts w:hint="eastAsia" w:ascii="Times New Roman" w:hAnsi="Times New Roman" w:eastAsia="宋体" w:cs="Times New Roman"/>
                <w:kern w:val="0"/>
                <w:sz w:val="21"/>
                <w:szCs w:val="21"/>
                <w:lang w:val="en-US" w:eastAsia="zh-CN"/>
              </w:rPr>
              <w:t>2018.3</w:t>
            </w:r>
            <w:r>
              <w:rPr>
                <w:rFonts w:hint="eastAsia" w:ascii="Times New Roman" w:hAnsi="Times New Roman" w:eastAsia="宋体" w:cs="Times New Roman"/>
                <w:kern w:val="0"/>
                <w:sz w:val="21"/>
                <w:szCs w:val="21"/>
              </w:rPr>
              <w:t>　</w:t>
            </w:r>
          </w:p>
        </w:tc>
        <w:tc>
          <w:tcPr>
            <w:tcW w:w="3734"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宋体" w:cs="Times New Roman"/>
                <w:kern w:val="0"/>
                <w:sz w:val="21"/>
                <w:szCs w:val="21"/>
              </w:rPr>
            </w:pPr>
            <w:r>
              <w:rPr>
                <w:rFonts w:hint="eastAsia" w:ascii="Times New Roman" w:hAnsi="Times New Roman" w:eastAsia="宋体" w:cs="Times New Roman"/>
                <w:kern w:val="0"/>
                <w:sz w:val="21"/>
                <w:szCs w:val="21"/>
                <w:lang w:val="en-US" w:eastAsia="zh-CN"/>
              </w:rPr>
              <w:t>2018.3.31</w:t>
            </w:r>
            <w:r>
              <w:rPr>
                <w:rFonts w:hint="eastAsia" w:ascii="Times New Roman" w:hAnsi="Times New Roman" w:eastAsia="宋体" w:cs="Times New Roman"/>
                <w:kern w:val="0"/>
                <w:sz w:val="21"/>
                <w:szCs w:val="21"/>
              </w:rPr>
              <w:t>　</w:t>
            </w:r>
          </w:p>
        </w:tc>
      </w:tr>
      <w:tr>
        <w:tblPrEx>
          <w:tblLayout w:type="fixed"/>
          <w:tblCellMar>
            <w:top w:w="0" w:type="dxa"/>
            <w:left w:w="108" w:type="dxa"/>
            <w:bottom w:w="0" w:type="dxa"/>
            <w:right w:w="108" w:type="dxa"/>
          </w:tblCellMar>
        </w:tblPrEx>
        <w:trPr>
          <w:trHeight w:val="1000" w:hRule="atLeast"/>
          <w:jc w:val="center"/>
        </w:trPr>
        <w:tc>
          <w:tcPr>
            <w:tcW w:w="1421" w:type="dxa"/>
            <w:gridSpan w:val="2"/>
            <w:vMerge w:val="continue"/>
            <w:tcBorders>
              <w:left w:val="single" w:color="auto" w:sz="4" w:space="0"/>
              <w:right w:val="single" w:color="auto" w:sz="4" w:space="0"/>
            </w:tcBorders>
            <w:vAlign w:val="center"/>
          </w:tcPr>
          <w:p>
            <w:pPr>
              <w:widowControl/>
              <w:spacing w:line="240" w:lineRule="auto"/>
              <w:jc w:val="left"/>
              <w:rPr>
                <w:rFonts w:ascii="Times New Roman" w:hAnsi="Times New Roman" w:eastAsia="黑体"/>
                <w:kern w:val="0"/>
                <w:sz w:val="21"/>
                <w:szCs w:val="21"/>
              </w:rPr>
            </w:pPr>
          </w:p>
        </w:tc>
        <w:tc>
          <w:tcPr>
            <w:tcW w:w="1451"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宋体" w:cs="Times New Roman"/>
                <w:kern w:val="0"/>
                <w:sz w:val="21"/>
                <w:szCs w:val="21"/>
              </w:rPr>
            </w:pPr>
            <w:r>
              <w:rPr>
                <w:rFonts w:hint="eastAsia" w:ascii="Times New Roman" w:hAnsi="Times New Roman" w:eastAsia="宋体" w:cs="Times New Roman"/>
                <w:kern w:val="0"/>
                <w:sz w:val="21"/>
                <w:szCs w:val="21"/>
                <w:lang w:val="en-US" w:eastAsia="zh-CN"/>
              </w:rPr>
              <w:t>4、旅游公共服务体系和新业态建设扶持项目验收</w:t>
            </w:r>
          </w:p>
        </w:tc>
        <w:tc>
          <w:tcPr>
            <w:tcW w:w="280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宋体" w:cs="Times New Roman"/>
                <w:kern w:val="0"/>
                <w:sz w:val="21"/>
                <w:szCs w:val="21"/>
              </w:rPr>
            </w:pPr>
            <w:r>
              <w:rPr>
                <w:rFonts w:hint="eastAsia" w:ascii="Times New Roman" w:hAnsi="Times New Roman" w:eastAsia="宋体" w:cs="Times New Roman"/>
                <w:kern w:val="0"/>
                <w:sz w:val="21"/>
                <w:szCs w:val="21"/>
                <w:lang w:val="en-US" w:eastAsia="zh-CN"/>
              </w:rPr>
              <w:t>2018.10</w:t>
            </w:r>
          </w:p>
        </w:tc>
        <w:tc>
          <w:tcPr>
            <w:tcW w:w="3734"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宋体" w:cs="Times New Roman"/>
                <w:kern w:val="0"/>
                <w:sz w:val="21"/>
                <w:szCs w:val="21"/>
              </w:rPr>
            </w:pPr>
            <w:r>
              <w:rPr>
                <w:rFonts w:hint="eastAsia" w:ascii="Times New Roman" w:hAnsi="Times New Roman" w:eastAsia="宋体" w:cs="Times New Roman"/>
                <w:kern w:val="0"/>
                <w:sz w:val="21"/>
                <w:szCs w:val="21"/>
                <w:lang w:val="en-US" w:eastAsia="zh-CN"/>
              </w:rPr>
              <w:t>2018.10.31</w:t>
            </w:r>
          </w:p>
        </w:tc>
      </w:tr>
      <w:tr>
        <w:tblPrEx>
          <w:tblLayout w:type="fixed"/>
          <w:tblCellMar>
            <w:top w:w="0" w:type="dxa"/>
            <w:left w:w="108" w:type="dxa"/>
            <w:bottom w:w="0" w:type="dxa"/>
            <w:right w:w="108" w:type="dxa"/>
          </w:tblCellMar>
        </w:tblPrEx>
        <w:trPr>
          <w:trHeight w:val="1033" w:hRule="atLeast"/>
          <w:jc w:val="center"/>
        </w:trPr>
        <w:tc>
          <w:tcPr>
            <w:tcW w:w="1421" w:type="dxa"/>
            <w:gridSpan w:val="2"/>
            <w:vMerge w:val="continue"/>
            <w:tcBorders>
              <w:left w:val="single" w:color="auto" w:sz="4" w:space="0"/>
              <w:right w:val="single" w:color="auto" w:sz="4" w:space="0"/>
            </w:tcBorders>
            <w:vAlign w:val="center"/>
          </w:tcPr>
          <w:p>
            <w:pPr>
              <w:widowControl/>
              <w:spacing w:line="240" w:lineRule="auto"/>
              <w:jc w:val="left"/>
              <w:rPr>
                <w:rFonts w:ascii="Times New Roman" w:hAnsi="Times New Roman" w:eastAsia="黑体"/>
                <w:kern w:val="0"/>
                <w:sz w:val="21"/>
                <w:szCs w:val="21"/>
              </w:rPr>
            </w:pPr>
          </w:p>
        </w:tc>
        <w:tc>
          <w:tcPr>
            <w:tcW w:w="1451"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宋体" w:cs="Times New Roman"/>
                <w:kern w:val="0"/>
                <w:sz w:val="21"/>
                <w:szCs w:val="21"/>
              </w:rPr>
            </w:pPr>
            <w:r>
              <w:rPr>
                <w:rFonts w:hint="eastAsia" w:ascii="Times New Roman" w:hAnsi="Times New Roman" w:eastAsia="宋体" w:cs="Times New Roman"/>
                <w:kern w:val="0"/>
                <w:sz w:val="21"/>
                <w:szCs w:val="21"/>
                <w:lang w:val="en-US" w:eastAsia="zh-CN"/>
              </w:rPr>
              <w:t>5、旅游公共服务体系和新业态建设扶持项目审批</w:t>
            </w:r>
          </w:p>
        </w:tc>
        <w:tc>
          <w:tcPr>
            <w:tcW w:w="280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宋体" w:cs="Times New Roman"/>
                <w:kern w:val="0"/>
                <w:sz w:val="21"/>
                <w:szCs w:val="21"/>
              </w:rPr>
            </w:pPr>
            <w:r>
              <w:rPr>
                <w:rFonts w:hint="eastAsia" w:ascii="Times New Roman" w:hAnsi="Times New Roman" w:eastAsia="宋体" w:cs="Times New Roman"/>
                <w:kern w:val="0"/>
                <w:sz w:val="21"/>
                <w:szCs w:val="21"/>
                <w:lang w:val="en-US" w:eastAsia="zh-CN"/>
              </w:rPr>
              <w:t>2018.11</w:t>
            </w:r>
          </w:p>
        </w:tc>
        <w:tc>
          <w:tcPr>
            <w:tcW w:w="3734"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宋体" w:cs="Times New Roman"/>
                <w:kern w:val="0"/>
                <w:sz w:val="21"/>
                <w:szCs w:val="21"/>
              </w:rPr>
            </w:pPr>
            <w:r>
              <w:rPr>
                <w:rFonts w:hint="eastAsia" w:ascii="Times New Roman" w:hAnsi="Times New Roman" w:eastAsia="宋体" w:cs="Times New Roman"/>
                <w:kern w:val="0"/>
                <w:sz w:val="21"/>
                <w:szCs w:val="21"/>
                <w:lang w:val="en-US" w:eastAsia="zh-CN"/>
              </w:rPr>
              <w:t>2018.11.30</w:t>
            </w:r>
          </w:p>
        </w:tc>
      </w:tr>
      <w:tr>
        <w:tblPrEx>
          <w:tblLayout w:type="fixed"/>
          <w:tblCellMar>
            <w:top w:w="0" w:type="dxa"/>
            <w:left w:w="108" w:type="dxa"/>
            <w:bottom w:w="0" w:type="dxa"/>
            <w:right w:w="108" w:type="dxa"/>
          </w:tblCellMar>
        </w:tblPrEx>
        <w:trPr>
          <w:trHeight w:val="906" w:hRule="atLeast"/>
          <w:jc w:val="center"/>
        </w:trPr>
        <w:tc>
          <w:tcPr>
            <w:tcW w:w="1421" w:type="dxa"/>
            <w:gridSpan w:val="2"/>
            <w:vMerge w:val="continue"/>
            <w:tcBorders>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kern w:val="0"/>
                <w:sz w:val="21"/>
                <w:szCs w:val="21"/>
              </w:rPr>
            </w:pPr>
          </w:p>
        </w:tc>
        <w:tc>
          <w:tcPr>
            <w:tcW w:w="1451"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宋体" w:cs="Times New Roman"/>
                <w:kern w:val="0"/>
                <w:sz w:val="21"/>
                <w:szCs w:val="21"/>
              </w:rPr>
            </w:pPr>
            <w:r>
              <w:rPr>
                <w:rFonts w:hint="eastAsia" w:ascii="Times New Roman" w:hAnsi="Times New Roman" w:eastAsia="宋体" w:cs="Times New Roman"/>
                <w:kern w:val="0"/>
                <w:sz w:val="21"/>
                <w:szCs w:val="21"/>
                <w:lang w:val="en-US" w:eastAsia="zh-CN"/>
              </w:rPr>
              <w:t>6、旅游公共服务体系和新业态建设扶持项目拨付</w:t>
            </w:r>
          </w:p>
        </w:tc>
        <w:tc>
          <w:tcPr>
            <w:tcW w:w="2800"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宋体" w:cs="Times New Roman"/>
                <w:kern w:val="0"/>
                <w:sz w:val="21"/>
                <w:szCs w:val="21"/>
              </w:rPr>
            </w:pPr>
            <w:r>
              <w:rPr>
                <w:rFonts w:hint="eastAsia" w:ascii="Times New Roman" w:hAnsi="Times New Roman" w:eastAsia="宋体" w:cs="Times New Roman"/>
                <w:kern w:val="0"/>
                <w:sz w:val="21"/>
                <w:szCs w:val="21"/>
                <w:lang w:val="en-US" w:eastAsia="zh-CN"/>
              </w:rPr>
              <w:t>2018.12</w:t>
            </w:r>
          </w:p>
        </w:tc>
        <w:tc>
          <w:tcPr>
            <w:tcW w:w="3734" w:type="dxa"/>
            <w:gridSpan w:val="3"/>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Times New Roman" w:hAnsi="Times New Roman" w:eastAsia="宋体" w:cs="Times New Roman"/>
                <w:kern w:val="0"/>
                <w:sz w:val="21"/>
                <w:szCs w:val="21"/>
              </w:rPr>
            </w:pPr>
            <w:r>
              <w:rPr>
                <w:rFonts w:hint="eastAsia" w:ascii="Times New Roman" w:hAnsi="Times New Roman" w:eastAsia="宋体" w:cs="Times New Roman"/>
                <w:kern w:val="0"/>
                <w:sz w:val="21"/>
                <w:szCs w:val="21"/>
                <w:lang w:val="en-US" w:eastAsia="zh-CN"/>
              </w:rPr>
              <w:t>2018.12.20</w:t>
            </w:r>
          </w:p>
        </w:tc>
      </w:tr>
      <w:tr>
        <w:tblPrEx>
          <w:tblLayout w:type="fixed"/>
          <w:tblCellMar>
            <w:top w:w="0" w:type="dxa"/>
            <w:left w:w="108" w:type="dxa"/>
            <w:bottom w:w="0" w:type="dxa"/>
            <w:right w:w="108" w:type="dxa"/>
          </w:tblCellMar>
        </w:tblPrEx>
        <w:trPr>
          <w:trHeight w:val="1333" w:hRule="atLeast"/>
          <w:jc w:val="center"/>
        </w:trPr>
        <w:tc>
          <w:tcPr>
            <w:tcW w:w="142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黑体"/>
                <w:kern w:val="0"/>
                <w:sz w:val="21"/>
                <w:szCs w:val="21"/>
              </w:rPr>
            </w:pPr>
            <w:r>
              <w:rPr>
                <w:rFonts w:hint="eastAsia" w:ascii="Times New Roman" w:hAnsi="Times New Roman" w:eastAsia="黑体"/>
                <w:kern w:val="0"/>
                <w:sz w:val="21"/>
                <w:szCs w:val="21"/>
              </w:rPr>
              <w:t>专项长期绩效目标</w:t>
            </w:r>
          </w:p>
        </w:tc>
        <w:tc>
          <w:tcPr>
            <w:tcW w:w="7985" w:type="dxa"/>
            <w:gridSpan w:val="6"/>
            <w:tcBorders>
              <w:top w:val="single" w:color="auto" w:sz="4" w:space="0"/>
              <w:left w:val="nil"/>
              <w:bottom w:val="single" w:color="auto" w:sz="4" w:space="0"/>
              <w:right w:val="single" w:color="auto" w:sz="4" w:space="0"/>
            </w:tcBorders>
            <w:vAlign w:val="center"/>
          </w:tcPr>
          <w:p>
            <w:pPr>
              <w:widowControl/>
              <w:spacing w:line="2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推进城旅融合、产旅融合，打响望城旅游品牌，实施精品突破战略、品牌突破战略、融合突破战略和改革突破战略，实施5大提升—经济提升、市场提升、业态提升、配套提升、服务提升，稳步推进国内一流新兴休闲度假基地，长株潭城市群生态休闲区与短途度假区域旅游目的地建设。</w:t>
            </w:r>
          </w:p>
        </w:tc>
      </w:tr>
      <w:tr>
        <w:tblPrEx>
          <w:tblLayout w:type="fixed"/>
          <w:tblCellMar>
            <w:top w:w="0" w:type="dxa"/>
            <w:left w:w="108" w:type="dxa"/>
            <w:bottom w:w="0" w:type="dxa"/>
            <w:right w:w="108" w:type="dxa"/>
          </w:tblCellMar>
        </w:tblPrEx>
        <w:trPr>
          <w:trHeight w:val="716" w:hRule="atLeast"/>
          <w:jc w:val="center"/>
        </w:trPr>
        <w:tc>
          <w:tcPr>
            <w:tcW w:w="142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黑体"/>
                <w:kern w:val="0"/>
                <w:sz w:val="21"/>
                <w:szCs w:val="21"/>
              </w:rPr>
            </w:pPr>
            <w:r>
              <w:rPr>
                <w:rFonts w:hint="eastAsia" w:ascii="Times New Roman" w:hAnsi="Times New Roman" w:eastAsia="黑体"/>
                <w:kern w:val="0"/>
                <w:sz w:val="21"/>
                <w:szCs w:val="21"/>
              </w:rPr>
              <w:t>专项年度绩效目标</w:t>
            </w:r>
          </w:p>
        </w:tc>
        <w:tc>
          <w:tcPr>
            <w:tcW w:w="7985" w:type="dxa"/>
            <w:gridSpan w:val="6"/>
            <w:tcBorders>
              <w:top w:val="single" w:color="auto" w:sz="4" w:space="0"/>
              <w:left w:val="nil"/>
              <w:bottom w:val="single" w:color="auto" w:sz="4" w:space="0"/>
              <w:right w:val="single" w:color="auto" w:sz="4" w:space="0"/>
            </w:tcBorders>
            <w:vAlign w:val="center"/>
          </w:tcPr>
          <w:p>
            <w:pPr>
              <w:widowControl/>
              <w:spacing w:line="2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 xml:space="preserve">创建“国家全域旅游示范区” </w:t>
            </w:r>
          </w:p>
        </w:tc>
      </w:tr>
      <w:tr>
        <w:tblPrEx>
          <w:tblLayout w:type="fixed"/>
          <w:tblCellMar>
            <w:top w:w="0" w:type="dxa"/>
            <w:left w:w="108" w:type="dxa"/>
            <w:bottom w:w="0" w:type="dxa"/>
            <w:right w:w="108" w:type="dxa"/>
          </w:tblCellMar>
        </w:tblPrEx>
        <w:trPr>
          <w:trHeight w:val="653" w:hRule="atLeast"/>
          <w:jc w:val="center"/>
        </w:trPr>
        <w:tc>
          <w:tcPr>
            <w:tcW w:w="421"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黑体"/>
                <w:kern w:val="0"/>
                <w:sz w:val="21"/>
                <w:szCs w:val="21"/>
              </w:rPr>
            </w:pPr>
            <w:r>
              <w:rPr>
                <w:rFonts w:hint="eastAsia" w:ascii="Times New Roman" w:hAnsi="Times New Roman" w:eastAsia="黑体"/>
                <w:kern w:val="0"/>
                <w:sz w:val="21"/>
                <w:szCs w:val="21"/>
              </w:rPr>
              <w:t>专项年度绩效指标</w:t>
            </w:r>
          </w:p>
        </w:tc>
        <w:tc>
          <w:tcPr>
            <w:tcW w:w="100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kern w:val="0"/>
                <w:sz w:val="21"/>
                <w:szCs w:val="21"/>
              </w:rPr>
            </w:pPr>
            <w:r>
              <w:rPr>
                <w:rFonts w:hint="eastAsia" w:ascii="Times New Roman" w:hAnsi="Times New Roman" w:eastAsia="宋体"/>
                <w:kern w:val="0"/>
                <w:sz w:val="21"/>
                <w:szCs w:val="21"/>
              </w:rPr>
              <w:t>一级指标</w:t>
            </w:r>
          </w:p>
        </w:tc>
        <w:tc>
          <w:tcPr>
            <w:tcW w:w="145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kern w:val="0"/>
                <w:sz w:val="21"/>
                <w:szCs w:val="21"/>
              </w:rPr>
            </w:pPr>
            <w:r>
              <w:rPr>
                <w:rFonts w:hint="eastAsia" w:ascii="Times New Roman" w:hAnsi="Times New Roman" w:eastAsia="宋体"/>
                <w:kern w:val="0"/>
                <w:sz w:val="21"/>
                <w:szCs w:val="21"/>
              </w:rPr>
              <w:t>二级指标</w:t>
            </w:r>
          </w:p>
        </w:tc>
        <w:tc>
          <w:tcPr>
            <w:tcW w:w="2800" w:type="dxa"/>
            <w:gridSpan w:val="2"/>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kern w:val="0"/>
                <w:sz w:val="21"/>
                <w:szCs w:val="21"/>
              </w:rPr>
            </w:pPr>
            <w:r>
              <w:rPr>
                <w:rFonts w:hint="eastAsia" w:ascii="Times New Roman" w:hAnsi="Times New Roman" w:eastAsia="宋体"/>
                <w:kern w:val="0"/>
                <w:sz w:val="21"/>
                <w:szCs w:val="21"/>
              </w:rPr>
              <w:t>指标内容</w:t>
            </w:r>
          </w:p>
        </w:tc>
        <w:tc>
          <w:tcPr>
            <w:tcW w:w="1334"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Times New Roman" w:hAnsi="Times New Roman" w:eastAsia="宋体"/>
                <w:kern w:val="0"/>
                <w:sz w:val="21"/>
                <w:szCs w:val="21"/>
              </w:rPr>
            </w:pPr>
            <w:r>
              <w:rPr>
                <w:rFonts w:hint="eastAsia" w:ascii="Times New Roman" w:hAnsi="Times New Roman" w:eastAsia="宋体"/>
                <w:kern w:val="0"/>
                <w:sz w:val="21"/>
                <w:szCs w:val="21"/>
              </w:rPr>
              <w:t>指标值</w:t>
            </w:r>
          </w:p>
        </w:tc>
        <w:tc>
          <w:tcPr>
            <w:tcW w:w="146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imes New Roman" w:hAnsi="Times New Roman" w:eastAsia="宋体"/>
                <w:kern w:val="0"/>
                <w:sz w:val="21"/>
                <w:szCs w:val="21"/>
              </w:rPr>
            </w:pPr>
            <w:r>
              <w:rPr>
                <w:rFonts w:hint="eastAsia" w:ascii="Times New Roman" w:hAnsi="Times New Roman" w:eastAsia="宋体"/>
                <w:kern w:val="0"/>
                <w:sz w:val="21"/>
                <w:szCs w:val="21"/>
              </w:rPr>
              <w:t>全年</w:t>
            </w:r>
          </w:p>
          <w:p>
            <w:pPr>
              <w:widowControl/>
              <w:spacing w:line="240" w:lineRule="exact"/>
              <w:jc w:val="center"/>
              <w:rPr>
                <w:rFonts w:hint="eastAsia" w:ascii="Times New Roman" w:hAnsi="Times New Roman" w:eastAsia="宋体"/>
                <w:kern w:val="0"/>
                <w:sz w:val="21"/>
                <w:szCs w:val="21"/>
              </w:rPr>
            </w:pPr>
            <w:r>
              <w:rPr>
                <w:rFonts w:hint="eastAsia" w:ascii="Times New Roman" w:hAnsi="Times New Roman" w:eastAsia="宋体"/>
                <w:kern w:val="0"/>
                <w:sz w:val="21"/>
                <w:szCs w:val="21"/>
              </w:rPr>
              <w:t>实际值</w:t>
            </w:r>
          </w:p>
        </w:tc>
        <w:tc>
          <w:tcPr>
            <w:tcW w:w="935"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hint="eastAsia" w:ascii="Times New Roman" w:hAnsi="Times New Roman" w:eastAsia="宋体"/>
                <w:kern w:val="0"/>
                <w:sz w:val="21"/>
                <w:szCs w:val="21"/>
              </w:rPr>
            </w:pPr>
            <w:r>
              <w:rPr>
                <w:rFonts w:hint="eastAsia" w:ascii="Times New Roman" w:hAnsi="Times New Roman" w:eastAsia="宋体"/>
                <w:kern w:val="0"/>
                <w:sz w:val="21"/>
                <w:szCs w:val="21"/>
              </w:rPr>
              <w:t>备注</w:t>
            </w:r>
          </w:p>
        </w:tc>
      </w:tr>
      <w:tr>
        <w:tblPrEx>
          <w:tblLayout w:type="fixed"/>
          <w:tblCellMar>
            <w:top w:w="0" w:type="dxa"/>
            <w:left w:w="108" w:type="dxa"/>
            <w:bottom w:w="0" w:type="dxa"/>
            <w:right w:w="108" w:type="dxa"/>
          </w:tblCellMar>
        </w:tblPrEx>
        <w:trPr>
          <w:trHeight w:val="480" w:hRule="atLeast"/>
          <w:jc w:val="center"/>
        </w:trPr>
        <w:tc>
          <w:tcPr>
            <w:tcW w:w="421"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kern w:val="0"/>
                <w:sz w:val="21"/>
                <w:szCs w:val="21"/>
              </w:rPr>
            </w:pPr>
          </w:p>
        </w:tc>
        <w:tc>
          <w:tcPr>
            <w:tcW w:w="100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产出</w:t>
            </w:r>
          </w:p>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1451" w:type="dxa"/>
            <w:vMerge w:val="restart"/>
            <w:tcBorders>
              <w:top w:val="single" w:color="auto" w:sz="4" w:space="0"/>
              <w:left w:val="nil"/>
              <w:right w:val="single" w:color="auto" w:sz="4" w:space="0"/>
            </w:tcBorders>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数量指标</w:t>
            </w:r>
          </w:p>
        </w:tc>
        <w:tc>
          <w:tcPr>
            <w:tcW w:w="2800" w:type="dxa"/>
            <w:gridSpan w:val="2"/>
            <w:tcBorders>
              <w:top w:val="single" w:color="auto" w:sz="4" w:space="0"/>
              <w:left w:val="nil"/>
              <w:bottom w:val="single" w:color="auto" w:sz="4" w:space="0"/>
              <w:right w:val="single" w:color="auto" w:sz="4" w:space="0"/>
            </w:tcBorders>
            <w:vAlign w:val="top"/>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1.举办或组织参加旅游节会活动</w:t>
            </w:r>
          </w:p>
        </w:tc>
        <w:tc>
          <w:tcPr>
            <w:tcW w:w="133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4次</w:t>
            </w:r>
          </w:p>
        </w:tc>
        <w:tc>
          <w:tcPr>
            <w:tcW w:w="146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14次</w:t>
            </w:r>
          </w:p>
        </w:tc>
        <w:tc>
          <w:tcPr>
            <w:tcW w:w="935" w:type="dxa"/>
            <w:tcBorders>
              <w:top w:val="single" w:color="auto" w:sz="4" w:space="0"/>
              <w:left w:val="nil"/>
              <w:bottom w:val="single" w:color="auto" w:sz="4" w:space="0"/>
              <w:right w:val="single" w:color="auto" w:sz="4" w:space="0"/>
            </w:tcBorders>
            <w:vAlign w:val="center"/>
          </w:tcPr>
          <w:p>
            <w:pPr>
              <w:widowControl/>
              <w:spacing w:line="280" w:lineRule="exact"/>
              <w:ind w:firstLine="420" w:firstLineChars="200"/>
              <w:jc w:val="center"/>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480" w:hRule="atLeast"/>
          <w:jc w:val="center"/>
        </w:trPr>
        <w:tc>
          <w:tcPr>
            <w:tcW w:w="421"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kern w:val="0"/>
                <w:sz w:val="21"/>
                <w:szCs w:val="21"/>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420" w:firstLineChars="200"/>
              <w:rPr>
                <w:rFonts w:hint="eastAsia" w:ascii="宋体" w:hAnsi="宋体" w:eastAsia="宋体" w:cs="宋体"/>
                <w:kern w:val="0"/>
                <w:sz w:val="21"/>
                <w:szCs w:val="21"/>
              </w:rPr>
            </w:pPr>
          </w:p>
        </w:tc>
        <w:tc>
          <w:tcPr>
            <w:tcW w:w="1451" w:type="dxa"/>
            <w:vMerge w:val="continue"/>
            <w:tcBorders>
              <w:left w:val="nil"/>
              <w:right w:val="single" w:color="auto" w:sz="4" w:space="0"/>
            </w:tcBorders>
            <w:vAlign w:val="center"/>
          </w:tcPr>
          <w:p>
            <w:pPr>
              <w:widowControl/>
              <w:spacing w:line="280" w:lineRule="exact"/>
              <w:ind w:firstLine="420" w:firstLineChars="200"/>
              <w:jc w:val="center"/>
              <w:rPr>
                <w:rFonts w:hint="eastAsia" w:ascii="宋体" w:hAnsi="宋体" w:eastAsia="宋体" w:cs="宋体"/>
                <w:kern w:val="0"/>
                <w:sz w:val="21"/>
                <w:szCs w:val="21"/>
              </w:rPr>
            </w:pPr>
          </w:p>
        </w:tc>
        <w:tc>
          <w:tcPr>
            <w:tcW w:w="2800" w:type="dxa"/>
            <w:gridSpan w:val="2"/>
            <w:tcBorders>
              <w:top w:val="single" w:color="auto" w:sz="4" w:space="0"/>
              <w:left w:val="nil"/>
              <w:bottom w:val="single" w:color="auto" w:sz="4" w:space="0"/>
              <w:right w:val="single" w:color="auto" w:sz="4" w:space="0"/>
            </w:tcBorders>
            <w:vAlign w:val="top"/>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2.在各大媒体上开展旅游宣传</w:t>
            </w:r>
          </w:p>
        </w:tc>
        <w:tc>
          <w:tcPr>
            <w:tcW w:w="133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4次</w:t>
            </w:r>
          </w:p>
        </w:tc>
        <w:tc>
          <w:tcPr>
            <w:tcW w:w="146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9次</w:t>
            </w:r>
          </w:p>
        </w:tc>
        <w:tc>
          <w:tcPr>
            <w:tcW w:w="935" w:type="dxa"/>
            <w:tcBorders>
              <w:top w:val="single" w:color="auto" w:sz="4" w:space="0"/>
              <w:left w:val="nil"/>
              <w:bottom w:val="single" w:color="auto" w:sz="4" w:space="0"/>
              <w:right w:val="single" w:color="auto" w:sz="4" w:space="0"/>
            </w:tcBorders>
            <w:vAlign w:val="center"/>
          </w:tcPr>
          <w:p>
            <w:pPr>
              <w:widowControl/>
              <w:spacing w:line="280" w:lineRule="exact"/>
              <w:ind w:firstLine="420" w:firstLineChars="200"/>
              <w:jc w:val="center"/>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480" w:hRule="atLeast"/>
          <w:jc w:val="center"/>
        </w:trPr>
        <w:tc>
          <w:tcPr>
            <w:tcW w:w="421"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kern w:val="0"/>
                <w:sz w:val="21"/>
                <w:szCs w:val="21"/>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420" w:firstLineChars="200"/>
              <w:rPr>
                <w:rFonts w:hint="eastAsia" w:ascii="宋体" w:hAnsi="宋体" w:eastAsia="宋体" w:cs="宋体"/>
                <w:kern w:val="0"/>
                <w:sz w:val="21"/>
                <w:szCs w:val="21"/>
              </w:rPr>
            </w:pPr>
          </w:p>
        </w:tc>
        <w:tc>
          <w:tcPr>
            <w:tcW w:w="1451" w:type="dxa"/>
            <w:vMerge w:val="continue"/>
            <w:tcBorders>
              <w:left w:val="nil"/>
              <w:bottom w:val="single" w:color="auto" w:sz="4" w:space="0"/>
              <w:right w:val="single" w:color="auto" w:sz="4" w:space="0"/>
            </w:tcBorders>
            <w:vAlign w:val="center"/>
          </w:tcPr>
          <w:p>
            <w:pPr>
              <w:widowControl/>
              <w:spacing w:line="280" w:lineRule="exact"/>
              <w:ind w:firstLine="420" w:firstLineChars="200"/>
              <w:jc w:val="center"/>
              <w:rPr>
                <w:rFonts w:hint="eastAsia" w:ascii="宋体" w:hAnsi="宋体" w:eastAsia="宋体" w:cs="宋体"/>
                <w:kern w:val="0"/>
                <w:sz w:val="21"/>
                <w:szCs w:val="21"/>
              </w:rPr>
            </w:pPr>
          </w:p>
        </w:tc>
        <w:tc>
          <w:tcPr>
            <w:tcW w:w="2800" w:type="dxa"/>
            <w:gridSpan w:val="2"/>
            <w:tcBorders>
              <w:top w:val="single" w:color="auto" w:sz="4" w:space="0"/>
              <w:left w:val="nil"/>
              <w:bottom w:val="single" w:color="auto" w:sz="4" w:space="0"/>
              <w:right w:val="single" w:color="auto" w:sz="4" w:space="0"/>
            </w:tcBorders>
            <w:vAlign w:val="top"/>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3.举办或参加招商活动</w:t>
            </w:r>
          </w:p>
        </w:tc>
        <w:tc>
          <w:tcPr>
            <w:tcW w:w="133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3次</w:t>
            </w:r>
          </w:p>
        </w:tc>
        <w:tc>
          <w:tcPr>
            <w:tcW w:w="146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3次</w:t>
            </w:r>
          </w:p>
        </w:tc>
        <w:tc>
          <w:tcPr>
            <w:tcW w:w="935" w:type="dxa"/>
            <w:tcBorders>
              <w:top w:val="single" w:color="auto" w:sz="4" w:space="0"/>
              <w:left w:val="nil"/>
              <w:bottom w:val="single" w:color="auto" w:sz="4" w:space="0"/>
              <w:right w:val="single" w:color="auto" w:sz="4" w:space="0"/>
            </w:tcBorders>
            <w:vAlign w:val="center"/>
          </w:tcPr>
          <w:p>
            <w:pPr>
              <w:widowControl/>
              <w:spacing w:line="280" w:lineRule="exact"/>
              <w:ind w:firstLine="420" w:firstLineChars="200"/>
              <w:jc w:val="center"/>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562" w:hRule="atLeast"/>
          <w:jc w:val="center"/>
        </w:trPr>
        <w:tc>
          <w:tcPr>
            <w:tcW w:w="421"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kern w:val="0"/>
                <w:sz w:val="21"/>
                <w:szCs w:val="21"/>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420" w:firstLineChars="200"/>
              <w:rPr>
                <w:rFonts w:hint="eastAsia" w:ascii="宋体" w:hAnsi="宋体" w:eastAsia="宋体" w:cs="宋体"/>
                <w:kern w:val="0"/>
                <w:sz w:val="21"/>
                <w:szCs w:val="21"/>
              </w:rPr>
            </w:pPr>
          </w:p>
        </w:tc>
        <w:tc>
          <w:tcPr>
            <w:tcW w:w="1451" w:type="dxa"/>
            <w:vMerge w:val="restart"/>
            <w:tcBorders>
              <w:top w:val="single" w:color="auto" w:sz="4" w:space="0"/>
              <w:left w:val="single" w:color="auto" w:sz="4" w:space="0"/>
              <w:right w:val="single" w:color="auto" w:sz="4" w:space="0"/>
            </w:tcBorders>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质量指标</w:t>
            </w:r>
          </w:p>
        </w:tc>
        <w:tc>
          <w:tcPr>
            <w:tcW w:w="280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1.旅游公共服务体系和新业态建设扶持项目申报</w:t>
            </w:r>
          </w:p>
        </w:tc>
        <w:tc>
          <w:tcPr>
            <w:tcW w:w="133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lang w:eastAsia="zh-CN"/>
              </w:rPr>
              <w:t>符合申报基本条件和申报范围</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both"/>
              <w:rPr>
                <w:rFonts w:hint="eastAsia" w:ascii="宋体" w:hAnsi="宋体" w:eastAsia="宋体" w:cs="宋体"/>
                <w:kern w:val="0"/>
                <w:sz w:val="21"/>
                <w:szCs w:val="21"/>
              </w:rPr>
            </w:pPr>
            <w:r>
              <w:rPr>
                <w:rFonts w:hint="eastAsia" w:ascii="宋体" w:hAnsi="宋体" w:eastAsia="宋体" w:cs="宋体"/>
                <w:kern w:val="0"/>
                <w:sz w:val="21"/>
                <w:szCs w:val="21"/>
                <w:lang w:eastAsia="zh-CN"/>
              </w:rPr>
              <w:t>按照申报的基本条件和申报范围进行申报</w:t>
            </w:r>
          </w:p>
        </w:tc>
        <w:tc>
          <w:tcPr>
            <w:tcW w:w="93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420" w:firstLineChars="200"/>
              <w:jc w:val="center"/>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562" w:hRule="atLeast"/>
          <w:jc w:val="center"/>
        </w:trPr>
        <w:tc>
          <w:tcPr>
            <w:tcW w:w="421"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kern w:val="0"/>
                <w:sz w:val="21"/>
                <w:szCs w:val="21"/>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420" w:firstLineChars="200"/>
              <w:rPr>
                <w:rFonts w:hint="eastAsia" w:ascii="宋体" w:hAnsi="宋体" w:eastAsia="宋体" w:cs="宋体"/>
                <w:kern w:val="0"/>
                <w:sz w:val="21"/>
                <w:szCs w:val="21"/>
              </w:rPr>
            </w:pPr>
          </w:p>
        </w:tc>
        <w:tc>
          <w:tcPr>
            <w:tcW w:w="1451" w:type="dxa"/>
            <w:vMerge w:val="continue"/>
            <w:tcBorders>
              <w:left w:val="single" w:color="auto" w:sz="4" w:space="0"/>
              <w:right w:val="single" w:color="auto" w:sz="4" w:space="0"/>
            </w:tcBorders>
            <w:vAlign w:val="center"/>
          </w:tcPr>
          <w:p>
            <w:pPr>
              <w:widowControl/>
              <w:spacing w:line="280" w:lineRule="exact"/>
              <w:ind w:firstLine="420" w:firstLineChars="200"/>
              <w:jc w:val="center"/>
              <w:rPr>
                <w:rFonts w:hint="eastAsia" w:ascii="宋体" w:hAnsi="宋体" w:eastAsia="宋体" w:cs="宋体"/>
                <w:kern w:val="0"/>
                <w:sz w:val="21"/>
                <w:szCs w:val="21"/>
              </w:rPr>
            </w:pPr>
          </w:p>
        </w:tc>
        <w:tc>
          <w:tcPr>
            <w:tcW w:w="280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2.旅游公共服务体系和新业态建设扶持项目验收</w:t>
            </w:r>
          </w:p>
        </w:tc>
        <w:tc>
          <w:tcPr>
            <w:tcW w:w="133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lang w:eastAsia="zh-CN"/>
              </w:rPr>
              <w:t>按照资金管理办法验收程序进行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both"/>
              <w:rPr>
                <w:rFonts w:hint="eastAsia" w:ascii="宋体" w:hAnsi="宋体" w:eastAsia="宋体" w:cs="宋体"/>
                <w:kern w:val="0"/>
                <w:sz w:val="21"/>
                <w:szCs w:val="21"/>
              </w:rPr>
            </w:pPr>
            <w:r>
              <w:rPr>
                <w:rFonts w:hint="eastAsia" w:ascii="宋体" w:hAnsi="宋体" w:eastAsia="宋体" w:cs="宋体"/>
                <w:kern w:val="0"/>
                <w:sz w:val="21"/>
                <w:szCs w:val="21"/>
                <w:lang w:eastAsia="zh-CN"/>
              </w:rPr>
              <w:t>按照资金管理办法验收程序进行</w:t>
            </w:r>
          </w:p>
        </w:tc>
        <w:tc>
          <w:tcPr>
            <w:tcW w:w="93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420" w:firstLineChars="200"/>
              <w:jc w:val="center"/>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562" w:hRule="atLeast"/>
          <w:jc w:val="center"/>
        </w:trPr>
        <w:tc>
          <w:tcPr>
            <w:tcW w:w="421"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kern w:val="0"/>
                <w:sz w:val="21"/>
                <w:szCs w:val="21"/>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420" w:firstLineChars="200"/>
              <w:rPr>
                <w:rFonts w:hint="eastAsia" w:ascii="宋体" w:hAnsi="宋体" w:eastAsia="宋体" w:cs="宋体"/>
                <w:kern w:val="0"/>
                <w:sz w:val="21"/>
                <w:szCs w:val="21"/>
              </w:rPr>
            </w:pPr>
          </w:p>
        </w:tc>
        <w:tc>
          <w:tcPr>
            <w:tcW w:w="1451" w:type="dxa"/>
            <w:vMerge w:val="continue"/>
            <w:tcBorders>
              <w:left w:val="single" w:color="auto" w:sz="4" w:space="0"/>
              <w:bottom w:val="single" w:color="auto" w:sz="4" w:space="0"/>
              <w:right w:val="single" w:color="auto" w:sz="4" w:space="0"/>
            </w:tcBorders>
            <w:vAlign w:val="center"/>
          </w:tcPr>
          <w:p>
            <w:pPr>
              <w:widowControl/>
              <w:spacing w:line="280" w:lineRule="exact"/>
              <w:ind w:firstLine="420" w:firstLineChars="200"/>
              <w:jc w:val="center"/>
              <w:rPr>
                <w:rFonts w:hint="eastAsia" w:ascii="宋体" w:hAnsi="宋体" w:eastAsia="宋体" w:cs="宋体"/>
                <w:kern w:val="0"/>
                <w:sz w:val="21"/>
                <w:szCs w:val="21"/>
              </w:rPr>
            </w:pPr>
          </w:p>
        </w:tc>
        <w:tc>
          <w:tcPr>
            <w:tcW w:w="280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3.旅游公共服务体系和新业态建设扶持项目审批</w:t>
            </w:r>
          </w:p>
        </w:tc>
        <w:tc>
          <w:tcPr>
            <w:tcW w:w="133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lang w:eastAsia="zh-CN"/>
              </w:rPr>
              <w:t>按照资金管理办法审批程序进行</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both"/>
              <w:rPr>
                <w:rFonts w:hint="eastAsia" w:ascii="宋体" w:hAnsi="宋体" w:eastAsia="宋体" w:cs="宋体"/>
                <w:kern w:val="0"/>
                <w:sz w:val="21"/>
                <w:szCs w:val="21"/>
              </w:rPr>
            </w:pPr>
            <w:r>
              <w:rPr>
                <w:rFonts w:hint="eastAsia" w:ascii="宋体" w:hAnsi="宋体" w:eastAsia="宋体" w:cs="宋体"/>
                <w:kern w:val="0"/>
                <w:sz w:val="21"/>
                <w:szCs w:val="21"/>
                <w:lang w:eastAsia="zh-CN"/>
              </w:rPr>
              <w:t>按照资金管理办法审批程序进行</w:t>
            </w:r>
          </w:p>
        </w:tc>
        <w:tc>
          <w:tcPr>
            <w:tcW w:w="93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420" w:firstLineChars="200"/>
              <w:jc w:val="center"/>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524" w:hRule="atLeast"/>
          <w:jc w:val="center"/>
        </w:trPr>
        <w:tc>
          <w:tcPr>
            <w:tcW w:w="421"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kern w:val="0"/>
                <w:sz w:val="21"/>
                <w:szCs w:val="21"/>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420" w:firstLineChars="200"/>
              <w:rPr>
                <w:rFonts w:hint="eastAsia" w:ascii="宋体" w:hAnsi="宋体" w:eastAsia="宋体" w:cs="宋体"/>
                <w:kern w:val="0"/>
                <w:sz w:val="21"/>
                <w:szCs w:val="21"/>
              </w:rPr>
            </w:pPr>
          </w:p>
        </w:tc>
        <w:tc>
          <w:tcPr>
            <w:tcW w:w="145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时效指标</w:t>
            </w:r>
          </w:p>
        </w:tc>
        <w:tc>
          <w:tcPr>
            <w:tcW w:w="2800" w:type="dxa"/>
            <w:gridSpan w:val="2"/>
            <w:tcBorders>
              <w:top w:val="single" w:color="auto" w:sz="4" w:space="0"/>
              <w:left w:val="nil"/>
              <w:bottom w:val="single" w:color="auto" w:sz="4" w:space="0"/>
              <w:right w:val="single" w:color="auto" w:sz="4" w:space="0"/>
            </w:tcBorders>
            <w:vAlign w:val="center"/>
          </w:tcPr>
          <w:p>
            <w:pPr>
              <w:widowControl/>
              <w:spacing w:line="280" w:lineRule="exac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旅游公共服务体系和新业态建设扶持项目拨付</w:t>
            </w:r>
          </w:p>
        </w:tc>
        <w:tc>
          <w:tcPr>
            <w:tcW w:w="1334" w:type="dxa"/>
            <w:tcBorders>
              <w:top w:val="single" w:color="auto" w:sz="4" w:space="0"/>
              <w:left w:val="nil"/>
              <w:bottom w:val="single" w:color="auto" w:sz="4" w:space="0"/>
              <w:right w:val="single" w:color="auto" w:sz="4" w:space="0"/>
            </w:tcBorders>
            <w:vAlign w:val="center"/>
          </w:tcPr>
          <w:p>
            <w:pPr>
              <w:widowControl/>
              <w:spacing w:line="280" w:lineRule="exact"/>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2018年12月20日前</w:t>
            </w:r>
          </w:p>
        </w:tc>
        <w:tc>
          <w:tcPr>
            <w:tcW w:w="146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2018年12月20日前</w:t>
            </w:r>
          </w:p>
        </w:tc>
        <w:tc>
          <w:tcPr>
            <w:tcW w:w="935" w:type="dxa"/>
            <w:tcBorders>
              <w:top w:val="single" w:color="auto" w:sz="4" w:space="0"/>
              <w:left w:val="nil"/>
              <w:bottom w:val="single" w:color="auto" w:sz="4" w:space="0"/>
              <w:right w:val="single" w:color="auto" w:sz="4" w:space="0"/>
            </w:tcBorders>
            <w:vAlign w:val="center"/>
          </w:tcPr>
          <w:p>
            <w:pPr>
              <w:widowControl/>
              <w:spacing w:line="280" w:lineRule="exact"/>
              <w:ind w:firstLine="420" w:firstLineChars="200"/>
              <w:jc w:val="center"/>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480" w:hRule="atLeast"/>
          <w:jc w:val="center"/>
        </w:trPr>
        <w:tc>
          <w:tcPr>
            <w:tcW w:w="421"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kern w:val="0"/>
                <w:sz w:val="21"/>
                <w:szCs w:val="21"/>
              </w:rPr>
            </w:pPr>
          </w:p>
        </w:tc>
        <w:tc>
          <w:tcPr>
            <w:tcW w:w="1000" w:type="dxa"/>
            <w:vMerge w:val="restart"/>
            <w:tcBorders>
              <w:top w:val="single" w:color="auto" w:sz="4" w:space="0"/>
              <w:left w:val="nil"/>
              <w:bottom w:val="single" w:color="auto" w:sz="4" w:space="0"/>
              <w:right w:val="single" w:color="auto" w:sz="4" w:space="0"/>
            </w:tcBorders>
            <w:vAlign w:val="center"/>
          </w:tcPr>
          <w:p>
            <w:pPr>
              <w:widowControl/>
              <w:spacing w:line="280" w:lineRule="exact"/>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效益指标</w:t>
            </w:r>
          </w:p>
        </w:tc>
        <w:tc>
          <w:tcPr>
            <w:tcW w:w="1451" w:type="dxa"/>
            <w:vMerge w:val="restart"/>
            <w:tcBorders>
              <w:top w:val="single" w:color="auto" w:sz="4" w:space="0"/>
              <w:left w:val="nil"/>
              <w:right w:val="single" w:color="auto" w:sz="4" w:space="0"/>
            </w:tcBorders>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经济效益</w:t>
            </w:r>
          </w:p>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2800" w:type="dxa"/>
            <w:gridSpan w:val="2"/>
            <w:tcBorders>
              <w:top w:val="single" w:color="auto" w:sz="4" w:space="0"/>
              <w:left w:val="nil"/>
              <w:bottom w:val="single" w:color="auto" w:sz="4" w:space="0"/>
              <w:right w:val="single" w:color="auto" w:sz="4" w:space="0"/>
            </w:tcBorders>
            <w:vAlign w:val="center"/>
          </w:tcPr>
          <w:p>
            <w:pPr>
              <w:widowControl/>
              <w:spacing w:line="280" w:lineRule="exact"/>
              <w:jc w:val="both"/>
              <w:rPr>
                <w:rFonts w:hint="eastAsia" w:ascii="宋体" w:hAnsi="宋体" w:eastAsia="宋体" w:cs="宋体"/>
                <w:kern w:val="0"/>
                <w:sz w:val="21"/>
                <w:szCs w:val="21"/>
              </w:rPr>
            </w:pPr>
            <w:r>
              <w:rPr>
                <w:rFonts w:hint="eastAsia" w:ascii="宋体" w:hAnsi="宋体" w:eastAsia="宋体" w:cs="宋体"/>
                <w:kern w:val="0"/>
                <w:sz w:val="21"/>
                <w:szCs w:val="21"/>
                <w:lang w:eastAsia="zh-CN"/>
              </w:rPr>
              <w:t>实现旅游收入</w:t>
            </w:r>
          </w:p>
        </w:tc>
        <w:tc>
          <w:tcPr>
            <w:tcW w:w="133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100亿元</w:t>
            </w:r>
          </w:p>
        </w:tc>
        <w:tc>
          <w:tcPr>
            <w:tcW w:w="146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105.03亿　</w:t>
            </w:r>
          </w:p>
        </w:tc>
        <w:tc>
          <w:tcPr>
            <w:tcW w:w="935" w:type="dxa"/>
            <w:tcBorders>
              <w:top w:val="single" w:color="auto" w:sz="4" w:space="0"/>
              <w:left w:val="nil"/>
              <w:bottom w:val="single" w:color="auto" w:sz="4" w:space="0"/>
              <w:right w:val="single" w:color="auto" w:sz="4" w:space="0"/>
            </w:tcBorders>
            <w:vAlign w:val="center"/>
          </w:tcPr>
          <w:p>
            <w:pPr>
              <w:widowControl/>
              <w:spacing w:line="280" w:lineRule="exact"/>
              <w:ind w:firstLine="420" w:firstLineChars="200"/>
              <w:jc w:val="center"/>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480" w:hRule="atLeast"/>
          <w:jc w:val="center"/>
        </w:trPr>
        <w:tc>
          <w:tcPr>
            <w:tcW w:w="421"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kern w:val="0"/>
                <w:sz w:val="21"/>
                <w:szCs w:val="21"/>
              </w:rPr>
            </w:pPr>
          </w:p>
        </w:tc>
        <w:tc>
          <w:tcPr>
            <w:tcW w:w="1000" w:type="dxa"/>
            <w:vMerge w:val="continue"/>
            <w:tcBorders>
              <w:left w:val="nil"/>
              <w:right w:val="single" w:color="auto" w:sz="4" w:space="0"/>
            </w:tcBorders>
            <w:vAlign w:val="center"/>
          </w:tcPr>
          <w:p>
            <w:pPr>
              <w:widowControl/>
              <w:spacing w:line="280" w:lineRule="exact"/>
              <w:ind w:firstLine="420" w:firstLineChars="200"/>
              <w:rPr>
                <w:rFonts w:hint="eastAsia" w:ascii="宋体" w:hAnsi="宋体" w:eastAsia="宋体" w:cs="宋体"/>
                <w:kern w:val="0"/>
                <w:sz w:val="21"/>
                <w:szCs w:val="21"/>
              </w:rPr>
            </w:pPr>
          </w:p>
        </w:tc>
        <w:tc>
          <w:tcPr>
            <w:tcW w:w="1451" w:type="dxa"/>
            <w:vMerge w:val="continue"/>
            <w:tcBorders>
              <w:left w:val="nil"/>
              <w:bottom w:val="single" w:color="auto" w:sz="4" w:space="0"/>
              <w:right w:val="single" w:color="auto" w:sz="4" w:space="0"/>
            </w:tcBorders>
            <w:vAlign w:val="center"/>
          </w:tcPr>
          <w:p>
            <w:pPr>
              <w:widowControl/>
              <w:spacing w:line="280" w:lineRule="exact"/>
              <w:jc w:val="center"/>
              <w:rPr>
                <w:rFonts w:hint="eastAsia" w:ascii="宋体" w:hAnsi="宋体" w:eastAsia="宋体" w:cs="宋体"/>
                <w:kern w:val="0"/>
                <w:sz w:val="21"/>
                <w:szCs w:val="21"/>
              </w:rPr>
            </w:pPr>
          </w:p>
        </w:tc>
        <w:tc>
          <w:tcPr>
            <w:tcW w:w="2800" w:type="dxa"/>
            <w:gridSpan w:val="2"/>
            <w:tcBorders>
              <w:top w:val="single" w:color="auto" w:sz="4" w:space="0"/>
              <w:left w:val="nil"/>
              <w:bottom w:val="single" w:color="auto" w:sz="4" w:space="0"/>
              <w:right w:val="single" w:color="auto" w:sz="4" w:space="0"/>
            </w:tcBorders>
            <w:vAlign w:val="center"/>
          </w:tcPr>
          <w:p>
            <w:pPr>
              <w:widowControl/>
              <w:spacing w:line="280" w:lineRule="exact"/>
              <w:jc w:val="both"/>
              <w:rPr>
                <w:rFonts w:hint="eastAsia" w:ascii="宋体" w:hAnsi="宋体" w:eastAsia="宋体" w:cs="宋体"/>
                <w:kern w:val="0"/>
                <w:sz w:val="21"/>
                <w:szCs w:val="21"/>
              </w:rPr>
            </w:pPr>
            <w:r>
              <w:rPr>
                <w:rFonts w:hint="eastAsia" w:ascii="宋体" w:hAnsi="宋体" w:eastAsia="宋体" w:cs="宋体"/>
                <w:kern w:val="0"/>
                <w:sz w:val="21"/>
                <w:szCs w:val="21"/>
                <w:lang w:eastAsia="zh-CN"/>
              </w:rPr>
              <w:t>接待游客人次</w:t>
            </w:r>
          </w:p>
        </w:tc>
        <w:tc>
          <w:tcPr>
            <w:tcW w:w="133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1800万</w:t>
            </w:r>
          </w:p>
        </w:tc>
        <w:tc>
          <w:tcPr>
            <w:tcW w:w="146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2000.17万</w:t>
            </w:r>
          </w:p>
        </w:tc>
        <w:tc>
          <w:tcPr>
            <w:tcW w:w="935" w:type="dxa"/>
            <w:tcBorders>
              <w:top w:val="single" w:color="auto" w:sz="4" w:space="0"/>
              <w:left w:val="nil"/>
              <w:bottom w:val="single" w:color="auto" w:sz="4" w:space="0"/>
              <w:right w:val="single" w:color="auto" w:sz="4" w:space="0"/>
            </w:tcBorders>
            <w:vAlign w:val="center"/>
          </w:tcPr>
          <w:p>
            <w:pPr>
              <w:widowControl/>
              <w:spacing w:line="280" w:lineRule="exact"/>
              <w:ind w:firstLine="420" w:firstLineChars="200"/>
              <w:jc w:val="center"/>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480" w:hRule="atLeast"/>
          <w:jc w:val="center"/>
        </w:trPr>
        <w:tc>
          <w:tcPr>
            <w:tcW w:w="421" w:type="dxa"/>
            <w:vMerge w:val="continue"/>
            <w:tcBorders>
              <w:top w:val="nil"/>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kern w:val="0"/>
                <w:sz w:val="21"/>
                <w:szCs w:val="21"/>
              </w:rPr>
            </w:pPr>
          </w:p>
        </w:tc>
        <w:tc>
          <w:tcPr>
            <w:tcW w:w="1000" w:type="dxa"/>
            <w:vMerge w:val="continue"/>
            <w:tcBorders>
              <w:top w:val="single" w:color="auto" w:sz="4" w:space="0"/>
              <w:left w:val="nil"/>
              <w:bottom w:val="single" w:color="auto" w:sz="4" w:space="0"/>
              <w:right w:val="single" w:color="auto" w:sz="4" w:space="0"/>
            </w:tcBorders>
            <w:vAlign w:val="center"/>
          </w:tcPr>
          <w:p>
            <w:pPr>
              <w:widowControl/>
              <w:spacing w:line="280" w:lineRule="exact"/>
              <w:ind w:firstLine="420" w:firstLineChars="200"/>
              <w:rPr>
                <w:rFonts w:hint="eastAsia" w:ascii="宋体" w:hAnsi="宋体" w:eastAsia="宋体" w:cs="宋体"/>
                <w:kern w:val="0"/>
                <w:sz w:val="21"/>
                <w:szCs w:val="21"/>
              </w:rPr>
            </w:pPr>
          </w:p>
        </w:tc>
        <w:tc>
          <w:tcPr>
            <w:tcW w:w="1451" w:type="dxa"/>
            <w:vMerge w:val="restart"/>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社会效益</w:t>
            </w:r>
          </w:p>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指标</w:t>
            </w:r>
          </w:p>
        </w:tc>
        <w:tc>
          <w:tcPr>
            <w:tcW w:w="2800" w:type="dxa"/>
            <w:gridSpan w:val="2"/>
            <w:tcBorders>
              <w:top w:val="single" w:color="auto" w:sz="4" w:space="0"/>
              <w:left w:val="nil"/>
              <w:bottom w:val="single" w:color="auto" w:sz="4" w:space="0"/>
              <w:right w:val="single" w:color="auto" w:sz="4" w:space="0"/>
            </w:tcBorders>
            <w:vAlign w:val="center"/>
          </w:tcPr>
          <w:p>
            <w:pPr>
              <w:widowControl/>
              <w:spacing w:line="280" w:lineRule="exact"/>
              <w:jc w:val="both"/>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各大旅游节会活动、媒体宣传、招商活动</w:t>
            </w:r>
          </w:p>
        </w:tc>
        <w:tc>
          <w:tcPr>
            <w:tcW w:w="133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反响良好</w:t>
            </w:r>
          </w:p>
        </w:tc>
        <w:tc>
          <w:tcPr>
            <w:tcW w:w="1465" w:type="dxa"/>
            <w:tcBorders>
              <w:top w:val="single" w:color="auto" w:sz="4" w:space="0"/>
              <w:left w:val="nil"/>
              <w:bottom w:val="single" w:color="auto" w:sz="4" w:space="0"/>
              <w:right w:val="single" w:color="auto" w:sz="4" w:space="0"/>
            </w:tcBorders>
            <w:vAlign w:val="center"/>
          </w:tcPr>
          <w:p>
            <w:pPr>
              <w:widowControl/>
              <w:numPr>
                <w:ilvl w:val="0"/>
                <w:numId w:val="1"/>
              </w:numPr>
              <w:spacing w:line="280" w:lineRule="exact"/>
              <w:jc w:val="both"/>
              <w:rPr>
                <w:rFonts w:hint="eastAsia" w:ascii="宋体" w:hAnsi="宋体" w:eastAsia="宋体" w:cs="宋体"/>
                <w:kern w:val="0"/>
                <w:sz w:val="21"/>
                <w:szCs w:val="21"/>
                <w:lang w:eastAsia="zh-CN"/>
              </w:rPr>
            </w:pPr>
            <w:r>
              <w:rPr>
                <w:rFonts w:hint="eastAsia" w:ascii="宋体" w:hAnsi="宋体" w:eastAsia="宋体" w:cs="宋体"/>
                <w:kern w:val="0"/>
                <w:sz w:val="21"/>
                <w:szCs w:val="21"/>
              </w:rPr>
              <w:t>举办第三届“中国年·望城味”春节活动，活动同时亮相CCTV1和CCTV13的《朝闻天下》、湖南卫视《新闻联播》、湖南都市等</w:t>
            </w:r>
            <w:r>
              <w:rPr>
                <w:rFonts w:hint="eastAsia" w:ascii="宋体" w:hAnsi="宋体" w:eastAsia="宋体" w:cs="宋体"/>
                <w:kern w:val="0"/>
                <w:sz w:val="21"/>
                <w:szCs w:val="21"/>
                <w:lang w:eastAsia="zh-CN"/>
              </w:rPr>
              <w:t>主流媒体。</w:t>
            </w:r>
          </w:p>
          <w:p>
            <w:pPr>
              <w:widowControl/>
              <w:numPr>
                <w:ilvl w:val="0"/>
                <w:numId w:val="1"/>
              </w:numPr>
              <w:spacing w:line="280" w:lineRule="exact"/>
              <w:jc w:val="both"/>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湖南日报、长沙晚报等媒体对望城旅游节会进行多次专题报道。</w:t>
            </w:r>
          </w:p>
        </w:tc>
        <w:tc>
          <w:tcPr>
            <w:tcW w:w="935" w:type="dxa"/>
            <w:tcBorders>
              <w:top w:val="single" w:color="auto" w:sz="4" w:space="0"/>
              <w:left w:val="nil"/>
              <w:bottom w:val="single" w:color="auto" w:sz="4" w:space="0"/>
              <w:right w:val="single" w:color="auto" w:sz="4" w:space="0"/>
            </w:tcBorders>
            <w:vAlign w:val="center"/>
          </w:tcPr>
          <w:p>
            <w:pPr>
              <w:widowControl/>
              <w:spacing w:line="280" w:lineRule="exact"/>
              <w:ind w:firstLine="420" w:firstLineChars="200"/>
              <w:jc w:val="center"/>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480" w:hRule="atLeast"/>
          <w:jc w:val="center"/>
        </w:trPr>
        <w:tc>
          <w:tcPr>
            <w:tcW w:w="4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kern w:val="0"/>
                <w:sz w:val="21"/>
                <w:szCs w:val="21"/>
              </w:rPr>
            </w:pPr>
          </w:p>
        </w:tc>
        <w:tc>
          <w:tcPr>
            <w:tcW w:w="100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420" w:firstLineChars="200"/>
              <w:rPr>
                <w:rFonts w:hint="eastAsia" w:ascii="宋体" w:hAnsi="宋体" w:eastAsia="宋体" w:cs="宋体"/>
                <w:kern w:val="0"/>
                <w:sz w:val="21"/>
                <w:szCs w:val="21"/>
              </w:rPr>
            </w:pPr>
          </w:p>
        </w:tc>
        <w:tc>
          <w:tcPr>
            <w:tcW w:w="14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eastAsia="宋体" w:cs="宋体"/>
                <w:kern w:val="0"/>
                <w:sz w:val="21"/>
                <w:szCs w:val="21"/>
              </w:rPr>
            </w:pPr>
          </w:p>
        </w:tc>
        <w:tc>
          <w:tcPr>
            <w:tcW w:w="2800"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both"/>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旅游基础设施</w:t>
            </w:r>
          </w:p>
        </w:tc>
        <w:tc>
          <w:tcPr>
            <w:tcW w:w="133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不断完善</w:t>
            </w:r>
          </w:p>
        </w:tc>
        <w:tc>
          <w:tcPr>
            <w:tcW w:w="146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both"/>
              <w:rPr>
                <w:rFonts w:hint="eastAsia" w:ascii="宋体" w:hAnsi="宋体" w:eastAsia="宋体" w:cs="宋体"/>
                <w:kern w:val="0"/>
                <w:sz w:val="21"/>
                <w:szCs w:val="21"/>
              </w:rPr>
            </w:pPr>
            <w:r>
              <w:rPr>
                <w:rFonts w:hint="eastAsia" w:ascii="宋体" w:hAnsi="宋体" w:eastAsia="宋体" w:cs="宋体"/>
                <w:kern w:val="0"/>
                <w:sz w:val="21"/>
                <w:szCs w:val="21"/>
              </w:rPr>
              <w:t>完善旅游硬件设施，政府投资近1000万元新建25座环保旅游厕所；新增3个户外露营地和3个特色鲜明的望城雷锋旅游驿站。推动望城智慧旅游建设，制作上线望城全域旅游电子导览图，搭建景区天网监控，建设旅游大数据网络平台。</w:t>
            </w:r>
          </w:p>
        </w:tc>
        <w:tc>
          <w:tcPr>
            <w:tcW w:w="93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ind w:firstLine="420" w:firstLineChars="200"/>
              <w:jc w:val="center"/>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480" w:hRule="atLeast"/>
          <w:jc w:val="center"/>
        </w:trPr>
        <w:tc>
          <w:tcPr>
            <w:tcW w:w="42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left"/>
              <w:rPr>
                <w:rFonts w:ascii="Times New Roman" w:hAnsi="Times New Roman" w:eastAsia="黑体"/>
                <w:kern w:val="0"/>
                <w:sz w:val="21"/>
                <w:szCs w:val="21"/>
              </w:rPr>
            </w:pPr>
          </w:p>
        </w:tc>
        <w:tc>
          <w:tcPr>
            <w:tcW w:w="1000" w:type="dxa"/>
            <w:vMerge w:val="continue"/>
            <w:tcBorders>
              <w:top w:val="single" w:color="auto" w:sz="4" w:space="0"/>
              <w:left w:val="nil"/>
              <w:bottom w:val="single" w:color="auto" w:sz="4" w:space="0"/>
              <w:right w:val="single" w:color="auto" w:sz="4" w:space="0"/>
            </w:tcBorders>
            <w:vAlign w:val="center"/>
          </w:tcPr>
          <w:p>
            <w:pPr>
              <w:widowControl/>
              <w:spacing w:line="280" w:lineRule="exact"/>
              <w:ind w:firstLine="420" w:firstLineChars="200"/>
              <w:rPr>
                <w:rFonts w:hint="eastAsia" w:ascii="宋体" w:hAnsi="宋体" w:eastAsia="宋体" w:cs="宋体"/>
                <w:kern w:val="0"/>
                <w:sz w:val="21"/>
                <w:szCs w:val="21"/>
              </w:rPr>
            </w:pPr>
          </w:p>
        </w:tc>
        <w:tc>
          <w:tcPr>
            <w:tcW w:w="1451"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社会公众或服务对象满意度指标</w:t>
            </w:r>
          </w:p>
        </w:tc>
        <w:tc>
          <w:tcPr>
            <w:tcW w:w="2800" w:type="dxa"/>
            <w:gridSpan w:val="2"/>
            <w:tcBorders>
              <w:top w:val="single" w:color="auto" w:sz="4" w:space="0"/>
              <w:left w:val="nil"/>
              <w:bottom w:val="single" w:color="auto" w:sz="4" w:space="0"/>
              <w:right w:val="single" w:color="auto" w:sz="4" w:space="0"/>
            </w:tcBorders>
            <w:vAlign w:val="center"/>
          </w:tcPr>
          <w:p>
            <w:pPr>
              <w:widowControl/>
              <w:spacing w:line="280" w:lineRule="exact"/>
              <w:jc w:val="both"/>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服务对象满意度　</w:t>
            </w:r>
          </w:p>
        </w:tc>
        <w:tc>
          <w:tcPr>
            <w:tcW w:w="133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90%</w:t>
            </w:r>
          </w:p>
        </w:tc>
        <w:tc>
          <w:tcPr>
            <w:tcW w:w="1465"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100%</w:t>
            </w:r>
          </w:p>
        </w:tc>
        <w:tc>
          <w:tcPr>
            <w:tcW w:w="935" w:type="dxa"/>
            <w:tcBorders>
              <w:top w:val="single" w:color="auto" w:sz="4" w:space="0"/>
              <w:left w:val="nil"/>
              <w:bottom w:val="single" w:color="auto" w:sz="4" w:space="0"/>
              <w:right w:val="single" w:color="auto" w:sz="4" w:space="0"/>
            </w:tcBorders>
            <w:vAlign w:val="center"/>
          </w:tcPr>
          <w:p>
            <w:pPr>
              <w:widowControl/>
              <w:spacing w:line="280" w:lineRule="exact"/>
              <w:ind w:firstLine="420" w:firstLineChars="200"/>
              <w:jc w:val="center"/>
              <w:rPr>
                <w:rFonts w:hint="eastAsia" w:ascii="宋体" w:hAnsi="宋体" w:eastAsia="宋体" w:cs="宋体"/>
                <w:kern w:val="0"/>
                <w:sz w:val="21"/>
                <w:szCs w:val="21"/>
              </w:rPr>
            </w:pPr>
          </w:p>
        </w:tc>
      </w:tr>
      <w:tr>
        <w:tblPrEx>
          <w:tblLayout w:type="fixed"/>
          <w:tblCellMar>
            <w:top w:w="0" w:type="dxa"/>
            <w:left w:w="108" w:type="dxa"/>
            <w:bottom w:w="0" w:type="dxa"/>
            <w:right w:w="108" w:type="dxa"/>
          </w:tblCellMar>
        </w:tblPrEx>
        <w:trPr>
          <w:trHeight w:val="1281" w:hRule="atLeast"/>
          <w:jc w:val="center"/>
        </w:trPr>
        <w:tc>
          <w:tcPr>
            <w:tcW w:w="142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黑体"/>
                <w:kern w:val="0"/>
                <w:sz w:val="21"/>
                <w:szCs w:val="21"/>
              </w:rPr>
            </w:pPr>
            <w:r>
              <w:rPr>
                <w:rFonts w:hint="eastAsia" w:ascii="Times New Roman" w:hAnsi="Times New Roman" w:eastAsia="黑体"/>
                <w:kern w:val="0"/>
                <w:sz w:val="21"/>
                <w:szCs w:val="21"/>
              </w:rPr>
              <w:t>专项实施</w:t>
            </w:r>
          </w:p>
          <w:p>
            <w:pPr>
              <w:widowControl/>
              <w:spacing w:line="280" w:lineRule="exact"/>
              <w:jc w:val="center"/>
              <w:rPr>
                <w:rFonts w:ascii="Times New Roman" w:hAnsi="Times New Roman" w:eastAsia="黑体"/>
                <w:kern w:val="0"/>
                <w:sz w:val="21"/>
                <w:szCs w:val="21"/>
              </w:rPr>
            </w:pPr>
            <w:r>
              <w:rPr>
                <w:rFonts w:hint="eastAsia" w:ascii="Times New Roman" w:hAnsi="Times New Roman" w:eastAsia="黑体"/>
                <w:kern w:val="0"/>
                <w:sz w:val="21"/>
                <w:szCs w:val="21"/>
              </w:rPr>
              <w:t>保障措施</w:t>
            </w:r>
          </w:p>
        </w:tc>
        <w:tc>
          <w:tcPr>
            <w:tcW w:w="7985" w:type="dxa"/>
            <w:gridSpan w:val="6"/>
            <w:tcBorders>
              <w:top w:val="single" w:color="auto" w:sz="4" w:space="0"/>
              <w:left w:val="nil"/>
              <w:bottom w:val="single" w:color="auto" w:sz="4" w:space="0"/>
              <w:right w:val="single" w:color="auto" w:sz="4" w:space="0"/>
            </w:tcBorders>
            <w:vAlign w:val="center"/>
          </w:tcPr>
          <w:p>
            <w:pPr>
              <w:widowControl/>
              <w:spacing w:line="280" w:lineRule="exact"/>
              <w:rPr>
                <w:rFonts w:ascii="Times New Roman" w:hAnsi="Times New Roman" w:eastAsia="宋体"/>
                <w:kern w:val="0"/>
                <w:sz w:val="18"/>
                <w:szCs w:val="18"/>
              </w:rPr>
            </w:pPr>
            <w:r>
              <w:rPr>
                <w:rFonts w:hint="eastAsia" w:ascii="宋体" w:hAnsi="宋体" w:eastAsia="宋体" w:cs="宋体"/>
                <w:kern w:val="0"/>
                <w:sz w:val="21"/>
                <w:szCs w:val="21"/>
                <w:lang w:eastAsia="zh-CN"/>
              </w:rPr>
              <w:t>制定《</w:t>
            </w:r>
            <w:r>
              <w:rPr>
                <w:rFonts w:hint="eastAsia" w:ascii="宋体" w:hAnsi="宋体" w:eastAsia="宋体" w:cs="宋体"/>
                <w:kern w:val="0"/>
                <w:sz w:val="21"/>
                <w:szCs w:val="21"/>
                <w:lang w:val="en-US" w:eastAsia="zh-CN"/>
              </w:rPr>
              <w:t>2018年旅游专项资金管理办法》，严格按照专项资金的申报、审批、拨付等程序进行扶持资金拨付，并对旅游专项资金实施绩效管理、监督检查，对专项资金使用情况进行追踪问效。</w:t>
            </w:r>
          </w:p>
        </w:tc>
      </w:tr>
    </w:tbl>
    <w:p>
      <w:pPr>
        <w:widowControl/>
        <w:spacing w:line="240" w:lineRule="auto"/>
        <w:jc w:val="left"/>
        <w:rPr>
          <w:rFonts w:hint="eastAsia" w:ascii="Times New Roman" w:hAnsi="Times New Roman" w:eastAsia="宋体"/>
          <w:kern w:val="0"/>
          <w:sz w:val="21"/>
          <w:szCs w:val="21"/>
        </w:rPr>
      </w:pPr>
      <w:r>
        <w:rPr>
          <w:rFonts w:hint="eastAsia" w:ascii="Times New Roman" w:hAnsi="Times New Roman" w:eastAsia="宋体"/>
          <w:kern w:val="0"/>
          <w:sz w:val="21"/>
          <w:szCs w:val="21"/>
        </w:rPr>
        <w:t xml:space="preserve">填报人： </w:t>
      </w:r>
      <w:r>
        <w:rPr>
          <w:rFonts w:hint="eastAsia" w:ascii="Times New Roman" w:hAnsi="Times New Roman" w:eastAsia="宋体"/>
          <w:kern w:val="0"/>
          <w:sz w:val="21"/>
          <w:szCs w:val="21"/>
          <w:lang w:eastAsia="zh-CN"/>
        </w:rPr>
        <w:t>杨瑜</w:t>
      </w:r>
      <w:r>
        <w:rPr>
          <w:rFonts w:hint="eastAsia" w:ascii="Times New Roman" w:hAnsi="Times New Roman" w:eastAsia="宋体"/>
          <w:kern w:val="0"/>
          <w:sz w:val="21"/>
          <w:szCs w:val="21"/>
        </w:rPr>
        <w:t xml:space="preserve"> </w:t>
      </w:r>
      <w:r>
        <w:rPr>
          <w:rFonts w:ascii="Times New Roman" w:hAnsi="Times New Roman" w:eastAsia="宋体"/>
          <w:kern w:val="0"/>
          <w:sz w:val="21"/>
          <w:szCs w:val="21"/>
        </w:rPr>
        <w:tab/>
      </w:r>
      <w:r>
        <w:rPr>
          <w:rFonts w:hint="eastAsia" w:ascii="Times New Roman" w:hAnsi="Times New Roman" w:eastAsia="宋体"/>
          <w:kern w:val="0"/>
          <w:sz w:val="21"/>
          <w:szCs w:val="21"/>
        </w:rPr>
        <w:t xml:space="preserve">          联系电话：</w:t>
      </w:r>
      <w:r>
        <w:rPr>
          <w:rFonts w:hint="eastAsia" w:ascii="Times New Roman" w:hAnsi="Times New Roman" w:eastAsia="宋体"/>
          <w:kern w:val="0"/>
          <w:sz w:val="21"/>
          <w:szCs w:val="21"/>
          <w:lang w:val="en-US" w:eastAsia="zh-CN"/>
        </w:rPr>
        <w:t xml:space="preserve">13787020930   </w:t>
      </w:r>
      <w:r>
        <w:rPr>
          <w:rFonts w:hint="eastAsia" w:ascii="Times New Roman" w:hAnsi="Times New Roman" w:eastAsia="宋体"/>
          <w:kern w:val="0"/>
          <w:sz w:val="21"/>
          <w:szCs w:val="21"/>
        </w:rPr>
        <w:t xml:space="preserve">    填报日期：</w:t>
      </w:r>
      <w:r>
        <w:rPr>
          <w:rFonts w:hint="eastAsia" w:ascii="Times New Roman" w:hAnsi="Times New Roman" w:eastAsia="宋体"/>
          <w:kern w:val="0"/>
          <w:sz w:val="21"/>
          <w:szCs w:val="21"/>
          <w:lang w:val="en-US" w:eastAsia="zh-CN"/>
        </w:rPr>
        <w:t>2019</w:t>
      </w:r>
      <w:r>
        <w:rPr>
          <w:rFonts w:hint="eastAsia" w:ascii="Times New Roman" w:hAnsi="Times New Roman" w:eastAsia="宋体"/>
          <w:kern w:val="0"/>
          <w:sz w:val="21"/>
          <w:szCs w:val="21"/>
        </w:rPr>
        <w:t>年</w:t>
      </w:r>
      <w:r>
        <w:rPr>
          <w:rFonts w:hint="eastAsia" w:ascii="Times New Roman" w:hAnsi="Times New Roman" w:eastAsia="宋体"/>
          <w:kern w:val="0"/>
          <w:sz w:val="21"/>
          <w:szCs w:val="21"/>
          <w:lang w:val="en-US" w:eastAsia="zh-CN"/>
        </w:rPr>
        <w:t>4</w:t>
      </w:r>
      <w:r>
        <w:rPr>
          <w:rFonts w:hint="eastAsia" w:ascii="Times New Roman" w:hAnsi="Times New Roman" w:eastAsia="宋体"/>
          <w:kern w:val="0"/>
          <w:sz w:val="21"/>
          <w:szCs w:val="21"/>
        </w:rPr>
        <w:t>月</w:t>
      </w:r>
      <w:r>
        <w:rPr>
          <w:rFonts w:hint="eastAsia" w:ascii="Times New Roman" w:hAnsi="Times New Roman" w:eastAsia="宋体"/>
          <w:kern w:val="0"/>
          <w:sz w:val="21"/>
          <w:szCs w:val="21"/>
          <w:lang w:val="en-US" w:eastAsia="zh-CN"/>
        </w:rPr>
        <w:t>24</w:t>
      </w:r>
      <w:r>
        <w:rPr>
          <w:rFonts w:hint="eastAsia" w:ascii="Times New Roman" w:hAnsi="Times New Roman" w:eastAsia="宋体"/>
          <w:kern w:val="0"/>
          <w:sz w:val="21"/>
          <w:szCs w:val="21"/>
        </w:rPr>
        <w:t>日</w:t>
      </w:r>
    </w:p>
    <w:p>
      <w:pPr>
        <w:spacing w:line="600" w:lineRule="exact"/>
        <w:rPr>
          <w:rFonts w:hint="eastAsia" w:ascii="Times New Roman" w:hAnsi="Times New Roman" w:eastAsia="楷体_GB2312"/>
        </w:rPr>
        <w:sectPr>
          <w:footerReference r:id="rId3" w:type="default"/>
          <w:pgSz w:w="11906" w:h="16838"/>
          <w:pgMar w:top="1701" w:right="1587" w:bottom="1417" w:left="1701" w:header="851" w:footer="992" w:gutter="0"/>
          <w:pgNumType w:fmt="numberInDash"/>
          <w:cols w:space="720" w:num="1"/>
          <w:docGrid w:type="lines" w:linePitch="312" w:charSpace="0"/>
        </w:sectPr>
      </w:pPr>
    </w:p>
    <w:p>
      <w:pPr>
        <w:spacing w:line="600" w:lineRule="exact"/>
        <w:rPr>
          <w:rFonts w:ascii="Times New Roman" w:hAnsi="Times New Roman" w:eastAsia="楷体_GB2312"/>
        </w:rPr>
      </w:pPr>
      <w:r>
        <w:rPr>
          <w:rFonts w:hint="eastAsia" w:ascii="Times New Roman" w:hAnsi="Times New Roman" w:eastAsia="楷体_GB2312"/>
        </w:rPr>
        <w:t>附件3</w:t>
      </w:r>
    </w:p>
    <w:p>
      <w:pPr>
        <w:widowControl/>
        <w:spacing w:line="240" w:lineRule="auto"/>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 xml:space="preserve"> </w:t>
      </w:r>
      <w:r>
        <w:rPr>
          <w:rFonts w:hint="eastAsia" w:ascii="Times New Roman" w:hAnsi="Times New Roman" w:eastAsia="方正小标宋简体"/>
          <w:kern w:val="0"/>
          <w:sz w:val="44"/>
          <w:szCs w:val="44"/>
          <w:u w:val="single"/>
          <w:lang w:eastAsia="zh-CN"/>
        </w:rPr>
        <w:t>区旅游局</w:t>
      </w:r>
      <w:r>
        <w:rPr>
          <w:rFonts w:hint="eastAsia" w:ascii="Times New Roman" w:hAnsi="Times New Roman" w:eastAsia="方正小标宋简体"/>
          <w:kern w:val="0"/>
          <w:sz w:val="44"/>
          <w:szCs w:val="44"/>
        </w:rPr>
        <w:t>部门整体支出绩效评价基础数据表</w:t>
      </w:r>
    </w:p>
    <w:p>
      <w:pPr>
        <w:widowControl/>
        <w:tabs>
          <w:tab w:val="left" w:pos="3611"/>
          <w:tab w:val="left" w:pos="4791"/>
          <w:tab w:val="left" w:pos="5951"/>
          <w:tab w:val="left" w:pos="7071"/>
          <w:tab w:val="left" w:pos="8191"/>
          <w:tab w:val="left" w:pos="9311"/>
        </w:tabs>
        <w:spacing w:line="240" w:lineRule="auto"/>
        <w:jc w:val="left"/>
        <w:rPr>
          <w:rFonts w:hAnsi="Times New Roman"/>
          <w:kern w:val="0"/>
          <w:sz w:val="24"/>
          <w:szCs w:val="24"/>
        </w:rPr>
      </w:pPr>
    </w:p>
    <w:p>
      <w:pPr>
        <w:widowControl/>
        <w:tabs>
          <w:tab w:val="left" w:pos="3611"/>
          <w:tab w:val="left" w:pos="4791"/>
          <w:tab w:val="left" w:pos="5951"/>
          <w:tab w:val="left" w:pos="7071"/>
          <w:tab w:val="left" w:pos="8191"/>
          <w:tab w:val="left" w:pos="9311"/>
        </w:tabs>
        <w:spacing w:line="240" w:lineRule="auto"/>
        <w:jc w:val="left"/>
        <w:rPr>
          <w:rFonts w:hAnsi="Times New Roman"/>
          <w:kern w:val="0"/>
          <w:sz w:val="24"/>
          <w:szCs w:val="24"/>
        </w:rPr>
      </w:pPr>
      <w:r>
        <w:rPr>
          <w:rFonts w:hint="eastAsia" w:hAnsi="Times New Roman"/>
          <w:kern w:val="0"/>
          <w:sz w:val="24"/>
          <w:szCs w:val="24"/>
        </w:rPr>
        <w:t>填报单位：</w:t>
      </w:r>
      <w:r>
        <w:rPr>
          <w:rFonts w:hint="eastAsia" w:hAnsi="Times New Roman"/>
          <w:kern w:val="0"/>
          <w:sz w:val="24"/>
          <w:szCs w:val="24"/>
          <w:lang w:eastAsia="zh-CN"/>
        </w:rPr>
        <w:t>长沙市望城区旅游局</w:t>
      </w:r>
      <w:r>
        <w:rPr>
          <w:rFonts w:hAnsi="Times New Roman"/>
          <w:kern w:val="0"/>
          <w:sz w:val="24"/>
          <w:szCs w:val="24"/>
        </w:rPr>
        <w:tab/>
      </w:r>
      <w:r>
        <w:rPr>
          <w:rFonts w:hAnsi="Times New Roman"/>
          <w:kern w:val="0"/>
          <w:sz w:val="24"/>
          <w:szCs w:val="24"/>
        </w:rPr>
        <w:tab/>
      </w:r>
      <w:r>
        <w:rPr>
          <w:rFonts w:hAnsi="Times New Roman"/>
          <w:kern w:val="0"/>
          <w:sz w:val="24"/>
          <w:szCs w:val="24"/>
        </w:rPr>
        <w:tab/>
      </w:r>
      <w:r>
        <w:rPr>
          <w:rFonts w:hAnsi="Times New Roman"/>
          <w:kern w:val="0"/>
          <w:sz w:val="24"/>
          <w:szCs w:val="24"/>
        </w:rPr>
        <w:tab/>
      </w:r>
      <w:r>
        <w:rPr>
          <w:rFonts w:hAnsi="Times New Roman"/>
          <w:kern w:val="0"/>
          <w:sz w:val="24"/>
          <w:szCs w:val="24"/>
        </w:rPr>
        <w:tab/>
      </w:r>
      <w:r>
        <w:rPr>
          <w:rFonts w:hAnsi="Times New Roman"/>
          <w:kern w:val="0"/>
          <w:sz w:val="24"/>
          <w:szCs w:val="24"/>
        </w:rPr>
        <w:tab/>
      </w:r>
    </w:p>
    <w:tbl>
      <w:tblPr>
        <w:tblStyle w:val="6"/>
        <w:tblW w:w="9878" w:type="dxa"/>
        <w:jc w:val="center"/>
        <w:tblInd w:w="0" w:type="dxa"/>
        <w:tblLayout w:type="fixed"/>
        <w:tblCellMar>
          <w:top w:w="0" w:type="dxa"/>
          <w:left w:w="108" w:type="dxa"/>
          <w:bottom w:w="0" w:type="dxa"/>
          <w:right w:w="108" w:type="dxa"/>
        </w:tblCellMar>
      </w:tblPr>
      <w:tblGrid>
        <w:gridCol w:w="3480"/>
        <w:gridCol w:w="936"/>
        <w:gridCol w:w="936"/>
        <w:gridCol w:w="987"/>
        <w:gridCol w:w="1217"/>
        <w:gridCol w:w="1187"/>
        <w:gridCol w:w="1135"/>
      </w:tblGrid>
      <w:tr>
        <w:tblPrEx>
          <w:tblLayout w:type="fixed"/>
          <w:tblCellMar>
            <w:top w:w="0" w:type="dxa"/>
            <w:left w:w="108" w:type="dxa"/>
            <w:bottom w:w="0" w:type="dxa"/>
            <w:right w:w="108" w:type="dxa"/>
          </w:tblCellMar>
        </w:tblPrEx>
        <w:trPr>
          <w:trHeight w:val="525" w:hRule="atLeast"/>
          <w:jc w:val="center"/>
        </w:trPr>
        <w:tc>
          <w:tcPr>
            <w:tcW w:w="348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财政供养人员情况</w:t>
            </w:r>
          </w:p>
        </w:tc>
        <w:tc>
          <w:tcPr>
            <w:tcW w:w="187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编制数</w:t>
            </w:r>
          </w:p>
        </w:tc>
        <w:tc>
          <w:tcPr>
            <w:tcW w:w="220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ascii="Times New Roman" w:hAnsi="Times New Roman"/>
                <w:bCs/>
                <w:kern w:val="0"/>
                <w:sz w:val="24"/>
                <w:szCs w:val="24"/>
              </w:rPr>
              <w:t>20</w:t>
            </w:r>
            <w:r>
              <w:rPr>
                <w:rFonts w:hint="eastAsia" w:ascii="Times New Roman" w:hAnsi="Times New Roman"/>
                <w:bCs/>
                <w:kern w:val="0"/>
                <w:sz w:val="24"/>
                <w:szCs w:val="24"/>
              </w:rPr>
              <w:t>18年实际</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在职人数</w:t>
            </w:r>
          </w:p>
        </w:tc>
        <w:tc>
          <w:tcPr>
            <w:tcW w:w="232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控制率</w:t>
            </w:r>
          </w:p>
        </w:tc>
      </w:tr>
      <w:tr>
        <w:tblPrEx>
          <w:tblLayout w:type="fixed"/>
          <w:tblCellMar>
            <w:top w:w="0" w:type="dxa"/>
            <w:left w:w="108" w:type="dxa"/>
            <w:bottom w:w="0" w:type="dxa"/>
            <w:right w:w="108" w:type="dxa"/>
          </w:tblCellMar>
        </w:tblPrEx>
        <w:trPr>
          <w:trHeight w:val="525" w:hRule="atLeast"/>
          <w:jc w:val="center"/>
        </w:trPr>
        <w:tc>
          <w:tcPr>
            <w:tcW w:w="34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p>
        </w:tc>
        <w:tc>
          <w:tcPr>
            <w:tcW w:w="187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16</w:t>
            </w:r>
            <w:r>
              <w:rPr>
                <w:rFonts w:hint="eastAsia" w:ascii="Times New Roman" w:hAnsi="Times New Roman"/>
                <w:kern w:val="0"/>
                <w:sz w:val="24"/>
                <w:szCs w:val="24"/>
              </w:rPr>
              <w:t>　</w:t>
            </w:r>
          </w:p>
        </w:tc>
        <w:tc>
          <w:tcPr>
            <w:tcW w:w="2204"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18</w:t>
            </w:r>
            <w:r>
              <w:rPr>
                <w:rFonts w:hint="eastAsia" w:ascii="Times New Roman" w:hAnsi="Times New Roman"/>
                <w:kern w:val="0"/>
                <w:sz w:val="24"/>
                <w:szCs w:val="24"/>
              </w:rPr>
              <w:t>　</w:t>
            </w:r>
          </w:p>
        </w:tc>
        <w:tc>
          <w:tcPr>
            <w:tcW w:w="2322" w:type="dxa"/>
            <w:gridSpan w:val="2"/>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112.5%</w:t>
            </w:r>
            <w:r>
              <w:rPr>
                <w:rFonts w:hint="eastAsia" w:ascii="Times New Roman" w:hAnsi="Times New Roman"/>
                <w:kern w:val="0"/>
                <w:sz w:val="24"/>
                <w:szCs w:val="24"/>
              </w:rPr>
              <w:t>　</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经费控制情况</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bCs/>
                <w:kern w:val="0"/>
                <w:sz w:val="24"/>
                <w:szCs w:val="24"/>
              </w:rPr>
            </w:pPr>
            <w:r>
              <w:rPr>
                <w:rFonts w:ascii="Times New Roman" w:hAnsi="Times New Roman"/>
                <w:bCs/>
                <w:kern w:val="0"/>
                <w:sz w:val="24"/>
                <w:szCs w:val="24"/>
              </w:rPr>
              <w:t>201</w:t>
            </w:r>
            <w:r>
              <w:rPr>
                <w:rFonts w:hint="eastAsia" w:ascii="Times New Roman" w:hAnsi="Times New Roman"/>
                <w:bCs/>
                <w:kern w:val="0"/>
                <w:sz w:val="24"/>
                <w:szCs w:val="24"/>
              </w:rPr>
              <w:t>7年决算数</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bCs/>
                <w:kern w:val="0"/>
                <w:sz w:val="24"/>
                <w:szCs w:val="24"/>
              </w:rPr>
            </w:pPr>
            <w:r>
              <w:rPr>
                <w:rFonts w:ascii="Times New Roman" w:hAnsi="Times New Roman"/>
                <w:bCs/>
                <w:kern w:val="0"/>
                <w:sz w:val="24"/>
                <w:szCs w:val="24"/>
              </w:rPr>
              <w:t>201</w:t>
            </w:r>
            <w:r>
              <w:rPr>
                <w:rFonts w:hint="eastAsia" w:ascii="Times New Roman" w:hAnsi="Times New Roman"/>
                <w:bCs/>
                <w:kern w:val="0"/>
                <w:sz w:val="24"/>
                <w:szCs w:val="24"/>
              </w:rPr>
              <w:t>8年预算数</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bCs/>
                <w:kern w:val="0"/>
                <w:sz w:val="24"/>
                <w:szCs w:val="24"/>
              </w:rPr>
            </w:pPr>
            <w:r>
              <w:rPr>
                <w:rFonts w:ascii="Times New Roman" w:hAnsi="Times New Roman"/>
                <w:bCs/>
                <w:kern w:val="0"/>
                <w:sz w:val="24"/>
                <w:szCs w:val="24"/>
              </w:rPr>
              <w:t>201</w:t>
            </w:r>
            <w:r>
              <w:rPr>
                <w:rFonts w:hint="eastAsia" w:ascii="Times New Roman" w:hAnsi="Times New Roman"/>
                <w:bCs/>
                <w:kern w:val="0"/>
                <w:sz w:val="24"/>
                <w:szCs w:val="24"/>
              </w:rPr>
              <w:t>8年决算数</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三公经费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7.97万</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2万</w:t>
            </w:r>
            <w:r>
              <w:rPr>
                <w:rFonts w:hint="eastAsia" w:ascii="Times New Roman" w:hAnsi="Times New Roman"/>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1.82万</w:t>
            </w:r>
            <w:r>
              <w:rPr>
                <w:rFonts w:hint="eastAsia" w:ascii="Times New Roman" w:hAnsi="Times New Roman"/>
                <w:kern w:val="0"/>
                <w:sz w:val="24"/>
                <w:szCs w:val="24"/>
              </w:rPr>
              <w:t>　</w:t>
            </w:r>
          </w:p>
        </w:tc>
      </w:tr>
      <w:tr>
        <w:tblPrEx>
          <w:tblLayout w:type="fixed"/>
          <w:tblCellMar>
            <w:top w:w="0" w:type="dxa"/>
            <w:left w:w="108" w:type="dxa"/>
            <w:bottom w:w="0" w:type="dxa"/>
            <w:right w:w="108" w:type="dxa"/>
          </w:tblCellMar>
        </w:tblPrEx>
        <w:trPr>
          <w:trHeight w:val="39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1</w:t>
            </w:r>
            <w:r>
              <w:rPr>
                <w:rFonts w:hint="eastAsia" w:ascii="Times New Roman" w:hAnsi="Times New Roman"/>
                <w:kern w:val="0"/>
                <w:sz w:val="24"/>
                <w:szCs w:val="24"/>
              </w:rPr>
              <w:t>、公务用车购置和维护经费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6万</w:t>
            </w:r>
            <w:r>
              <w:rPr>
                <w:rFonts w:hint="eastAsia" w:ascii="Times New Roman" w:hAnsi="Times New Roman"/>
                <w:kern w:val="0"/>
                <w:sz w:val="24"/>
                <w:szCs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0万</w:t>
            </w:r>
            <w:r>
              <w:rPr>
                <w:rFonts w:hint="eastAsia" w:ascii="Times New Roman" w:hAnsi="Times New Roman"/>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0万</w:t>
            </w:r>
            <w:r>
              <w:rPr>
                <w:rFonts w:hint="eastAsia" w:ascii="Times New Roman" w:hAnsi="Times New Roman"/>
                <w:kern w:val="0"/>
                <w:sz w:val="24"/>
                <w:szCs w:val="24"/>
              </w:rPr>
              <w:t>　</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w:t>
            </w:r>
            <w:r>
              <w:rPr>
                <w:rFonts w:hint="eastAsia" w:ascii="Times New Roman" w:hAnsi="Times New Roman"/>
                <w:kern w:val="0"/>
                <w:sz w:val="24"/>
                <w:szCs w:val="24"/>
              </w:rPr>
              <w:t>其中：公车购置</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0万</w:t>
            </w:r>
            <w:r>
              <w:rPr>
                <w:rFonts w:hint="eastAsia" w:ascii="Times New Roman" w:hAnsi="Times New Roman"/>
                <w:kern w:val="0"/>
                <w:sz w:val="24"/>
                <w:szCs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0万</w:t>
            </w:r>
            <w:r>
              <w:rPr>
                <w:rFonts w:hint="eastAsia" w:ascii="Times New Roman" w:hAnsi="Times New Roman"/>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0万</w:t>
            </w:r>
            <w:r>
              <w:rPr>
                <w:rFonts w:hint="eastAsia" w:ascii="Times New Roman" w:hAnsi="Times New Roman"/>
                <w:kern w:val="0"/>
                <w:sz w:val="24"/>
                <w:szCs w:val="24"/>
              </w:rPr>
              <w:t>　</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w:t>
            </w:r>
            <w:r>
              <w:rPr>
                <w:rFonts w:hint="eastAsia" w:ascii="Times New Roman" w:hAnsi="Times New Roman"/>
                <w:kern w:val="0"/>
                <w:sz w:val="24"/>
                <w:szCs w:val="24"/>
              </w:rPr>
              <w:t>公车运行维护</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6万</w:t>
            </w:r>
            <w:r>
              <w:rPr>
                <w:rFonts w:hint="eastAsia" w:ascii="Times New Roman" w:hAnsi="Times New Roman"/>
                <w:kern w:val="0"/>
                <w:sz w:val="24"/>
                <w:szCs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0万</w:t>
            </w:r>
            <w:r>
              <w:rPr>
                <w:rFonts w:hint="eastAsia" w:ascii="Times New Roman" w:hAnsi="Times New Roman"/>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0万</w:t>
            </w:r>
            <w:r>
              <w:rPr>
                <w:rFonts w:hint="eastAsia" w:ascii="Times New Roman" w:hAnsi="Times New Roman"/>
                <w:kern w:val="0"/>
                <w:sz w:val="24"/>
                <w:szCs w:val="24"/>
              </w:rPr>
              <w:t>　</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2</w:t>
            </w:r>
            <w:r>
              <w:rPr>
                <w:rFonts w:hint="eastAsia" w:ascii="Times New Roman" w:hAnsi="Times New Roman"/>
                <w:kern w:val="0"/>
                <w:sz w:val="24"/>
                <w:szCs w:val="24"/>
              </w:rPr>
              <w:t>、出国经费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0万</w:t>
            </w:r>
            <w:r>
              <w:rPr>
                <w:rFonts w:hint="eastAsia" w:ascii="Times New Roman" w:hAnsi="Times New Roman"/>
                <w:kern w:val="0"/>
                <w:sz w:val="24"/>
                <w:szCs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0万</w:t>
            </w:r>
            <w:r>
              <w:rPr>
                <w:rFonts w:hint="eastAsia" w:ascii="Times New Roman" w:hAnsi="Times New Roman"/>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0万</w:t>
            </w:r>
            <w:r>
              <w:rPr>
                <w:rFonts w:hint="eastAsia" w:ascii="Times New Roman" w:hAnsi="Times New Roman"/>
                <w:kern w:val="0"/>
                <w:sz w:val="24"/>
                <w:szCs w:val="24"/>
              </w:rPr>
              <w:t>　</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3</w:t>
            </w:r>
            <w:r>
              <w:rPr>
                <w:rFonts w:hint="eastAsia" w:ascii="Times New Roman" w:hAnsi="Times New Roman"/>
                <w:kern w:val="0"/>
                <w:sz w:val="24"/>
                <w:szCs w:val="24"/>
              </w:rPr>
              <w:t>、公务接待</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1.97万</w:t>
            </w:r>
            <w:r>
              <w:rPr>
                <w:rFonts w:hint="eastAsia" w:ascii="Times New Roman" w:hAnsi="Times New Roman"/>
                <w:kern w:val="0"/>
                <w:sz w:val="24"/>
                <w:szCs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2万</w:t>
            </w:r>
            <w:r>
              <w:rPr>
                <w:rFonts w:hint="eastAsia" w:ascii="Times New Roman" w:hAnsi="Times New Roman"/>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1.82万</w:t>
            </w:r>
            <w:r>
              <w:rPr>
                <w:rFonts w:hint="eastAsia" w:ascii="Times New Roman" w:hAnsi="Times New Roman"/>
                <w:kern w:val="0"/>
                <w:sz w:val="24"/>
                <w:szCs w:val="24"/>
              </w:rPr>
              <w:t>　　</w:t>
            </w:r>
          </w:p>
        </w:tc>
      </w:tr>
      <w:tr>
        <w:tblPrEx>
          <w:tblLayout w:type="fixed"/>
          <w:tblCellMar>
            <w:top w:w="0" w:type="dxa"/>
            <w:left w:w="108" w:type="dxa"/>
            <w:bottom w:w="0" w:type="dxa"/>
            <w:right w:w="108" w:type="dxa"/>
          </w:tblCellMar>
        </w:tblPrEx>
        <w:trPr>
          <w:trHeight w:val="39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项目支出：</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　</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1</w:t>
            </w:r>
            <w:r>
              <w:rPr>
                <w:rFonts w:hint="eastAsia" w:ascii="Times New Roman" w:hAnsi="Times New Roman"/>
                <w:kern w:val="0"/>
                <w:sz w:val="24"/>
                <w:szCs w:val="24"/>
              </w:rPr>
              <w:t>、业务工作专项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100万</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100万</w:t>
            </w:r>
            <w:r>
              <w:rPr>
                <w:rFonts w:hint="eastAsia" w:ascii="Times New Roman" w:hAnsi="Times New Roman"/>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100万</w:t>
            </w:r>
            <w:r>
              <w:rPr>
                <w:rFonts w:hint="eastAsia" w:ascii="Times New Roman" w:hAnsi="Times New Roman"/>
                <w:kern w:val="0"/>
                <w:sz w:val="24"/>
                <w:szCs w:val="24"/>
              </w:rPr>
              <w:t>　</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2</w:t>
            </w:r>
            <w:r>
              <w:rPr>
                <w:rFonts w:hint="eastAsia" w:ascii="Times New Roman" w:hAnsi="Times New Roman"/>
                <w:kern w:val="0"/>
                <w:sz w:val="24"/>
                <w:szCs w:val="24"/>
              </w:rPr>
              <w:t>、运行维护专项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　</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　</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公用经费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　</w:t>
            </w:r>
          </w:p>
        </w:tc>
      </w:tr>
      <w:tr>
        <w:tblPrEx>
          <w:tblLayout w:type="fixed"/>
          <w:tblCellMar>
            <w:top w:w="0" w:type="dxa"/>
            <w:left w:w="108" w:type="dxa"/>
            <w:bottom w:w="0" w:type="dxa"/>
            <w:right w:w="108" w:type="dxa"/>
          </w:tblCellMar>
        </w:tblPrEx>
        <w:trPr>
          <w:trHeight w:val="39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w:t>
            </w:r>
            <w:r>
              <w:rPr>
                <w:rFonts w:hint="eastAsia" w:ascii="Times New Roman" w:hAnsi="Times New Roman"/>
                <w:kern w:val="0"/>
                <w:sz w:val="24"/>
                <w:szCs w:val="24"/>
              </w:rPr>
              <w:t>其中：办公经费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color w:val="FF0000"/>
                <w:kern w:val="0"/>
                <w:sz w:val="24"/>
                <w:szCs w:val="24"/>
              </w:rPr>
            </w:pPr>
            <w:r>
              <w:rPr>
                <w:rFonts w:hint="eastAsia" w:ascii="Times New Roman" w:hAnsi="Times New Roman"/>
                <w:color w:val="auto"/>
                <w:kern w:val="0"/>
                <w:sz w:val="24"/>
                <w:szCs w:val="24"/>
                <w:lang w:val="en-US" w:eastAsia="zh-CN"/>
              </w:rPr>
              <w:t>24.9万</w:t>
            </w:r>
            <w:r>
              <w:rPr>
                <w:rFonts w:hint="eastAsia" w:ascii="Times New Roman" w:hAnsi="Times New Roman"/>
                <w:color w:val="FF0000"/>
                <w:kern w:val="0"/>
                <w:sz w:val="24"/>
                <w:szCs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color w:val="FF0000"/>
                <w:kern w:val="0"/>
                <w:sz w:val="24"/>
                <w:szCs w:val="24"/>
              </w:rPr>
            </w:pPr>
            <w:r>
              <w:rPr>
                <w:rFonts w:hint="eastAsia" w:ascii="Times New Roman" w:hAnsi="Times New Roman"/>
                <w:color w:val="auto"/>
                <w:kern w:val="0"/>
                <w:sz w:val="24"/>
                <w:szCs w:val="24"/>
                <w:lang w:val="en-US" w:eastAsia="zh-CN"/>
              </w:rPr>
              <w:t>22.3万</w:t>
            </w:r>
            <w:r>
              <w:rPr>
                <w:rFonts w:hint="eastAsia" w:ascii="Times New Roman" w:hAnsi="Times New Roman"/>
                <w:color w:val="auto"/>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color w:val="auto"/>
                <w:kern w:val="0"/>
                <w:sz w:val="24"/>
                <w:szCs w:val="24"/>
              </w:rPr>
            </w:pPr>
            <w:r>
              <w:rPr>
                <w:rFonts w:hint="eastAsia" w:ascii="Times New Roman" w:hAnsi="Times New Roman"/>
                <w:color w:val="auto"/>
                <w:kern w:val="0"/>
                <w:sz w:val="24"/>
                <w:szCs w:val="24"/>
                <w:lang w:val="en-US" w:eastAsia="zh-CN"/>
              </w:rPr>
              <w:t>20.19万</w:t>
            </w:r>
            <w:r>
              <w:rPr>
                <w:rFonts w:hint="eastAsia" w:ascii="Times New Roman" w:hAnsi="Times New Roman"/>
                <w:color w:val="auto"/>
                <w:kern w:val="0"/>
                <w:sz w:val="24"/>
                <w:szCs w:val="24"/>
              </w:rPr>
              <w:t>　</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w:t>
            </w:r>
            <w:r>
              <w:rPr>
                <w:rFonts w:hint="eastAsia" w:ascii="Times New Roman" w:hAnsi="Times New Roman"/>
                <w:kern w:val="0"/>
                <w:sz w:val="24"/>
                <w:szCs w:val="24"/>
              </w:rPr>
              <w:t>水费、电费、差旅费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color w:val="FF0000"/>
                <w:kern w:val="0"/>
                <w:sz w:val="24"/>
                <w:szCs w:val="24"/>
              </w:rPr>
            </w:pPr>
            <w:r>
              <w:rPr>
                <w:rFonts w:hint="eastAsia" w:ascii="Times New Roman" w:hAnsi="Times New Roman"/>
                <w:color w:val="auto"/>
                <w:kern w:val="0"/>
                <w:sz w:val="24"/>
                <w:szCs w:val="24"/>
                <w:lang w:val="en-US" w:eastAsia="zh-CN"/>
              </w:rPr>
              <w:t>0万</w:t>
            </w:r>
            <w:r>
              <w:rPr>
                <w:rFonts w:hint="eastAsia" w:ascii="Times New Roman" w:hAnsi="Times New Roman"/>
                <w:color w:val="FF0000"/>
                <w:kern w:val="0"/>
                <w:sz w:val="24"/>
                <w:szCs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color w:val="FF0000"/>
                <w:kern w:val="0"/>
                <w:sz w:val="24"/>
                <w:szCs w:val="24"/>
              </w:rPr>
            </w:pPr>
            <w:r>
              <w:rPr>
                <w:rFonts w:hint="eastAsia" w:ascii="Times New Roman" w:hAnsi="Times New Roman"/>
                <w:color w:val="auto"/>
                <w:kern w:val="0"/>
                <w:sz w:val="24"/>
                <w:szCs w:val="24"/>
                <w:lang w:val="en-US" w:eastAsia="zh-CN"/>
              </w:rPr>
              <w:t>0万</w:t>
            </w:r>
            <w:r>
              <w:rPr>
                <w:rFonts w:hint="eastAsia" w:ascii="Times New Roman" w:hAnsi="Times New Roman"/>
                <w:color w:val="FF0000"/>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color w:val="auto"/>
                <w:kern w:val="0"/>
                <w:sz w:val="24"/>
                <w:szCs w:val="24"/>
              </w:rPr>
            </w:pPr>
            <w:r>
              <w:rPr>
                <w:rFonts w:hint="eastAsia" w:ascii="Times New Roman" w:hAnsi="Times New Roman"/>
                <w:color w:val="auto"/>
                <w:kern w:val="0"/>
                <w:sz w:val="24"/>
                <w:szCs w:val="24"/>
                <w:lang w:val="en-US" w:eastAsia="zh-CN"/>
              </w:rPr>
              <w:t>0.13万</w:t>
            </w:r>
            <w:r>
              <w:rPr>
                <w:rFonts w:hint="eastAsia" w:ascii="Times New Roman" w:hAnsi="Times New Roman"/>
                <w:color w:val="auto"/>
                <w:kern w:val="0"/>
                <w:sz w:val="24"/>
                <w:szCs w:val="24"/>
              </w:rPr>
              <w:t>　</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ascii="Times New Roman" w:hAnsi="Times New Roman"/>
                <w:kern w:val="0"/>
                <w:sz w:val="24"/>
                <w:szCs w:val="24"/>
              </w:rPr>
              <w:t xml:space="preserve">          </w:t>
            </w:r>
            <w:r>
              <w:rPr>
                <w:rFonts w:hint="eastAsia" w:ascii="Times New Roman" w:hAnsi="Times New Roman"/>
                <w:kern w:val="0"/>
                <w:sz w:val="24"/>
                <w:szCs w:val="24"/>
              </w:rPr>
              <w:t>会议费、培训费</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color w:val="FF0000"/>
                <w:kern w:val="0"/>
                <w:sz w:val="24"/>
                <w:szCs w:val="24"/>
              </w:rPr>
            </w:pPr>
            <w:r>
              <w:rPr>
                <w:rFonts w:hint="eastAsia" w:ascii="Times New Roman" w:hAnsi="Times New Roman"/>
                <w:color w:val="auto"/>
                <w:kern w:val="0"/>
                <w:sz w:val="24"/>
                <w:szCs w:val="24"/>
                <w:lang w:val="en-US" w:eastAsia="zh-CN"/>
              </w:rPr>
              <w:t>0.36万</w:t>
            </w:r>
            <w:r>
              <w:rPr>
                <w:rFonts w:hint="eastAsia" w:ascii="Times New Roman" w:hAnsi="Times New Roman"/>
                <w:color w:val="FF0000"/>
                <w:kern w:val="0"/>
                <w:sz w:val="24"/>
                <w:szCs w:val="24"/>
              </w:rPr>
              <w:t>　</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color w:val="FF0000"/>
                <w:kern w:val="0"/>
                <w:sz w:val="24"/>
                <w:szCs w:val="24"/>
              </w:rPr>
            </w:pPr>
            <w:r>
              <w:rPr>
                <w:rFonts w:hint="eastAsia" w:ascii="Times New Roman" w:hAnsi="Times New Roman"/>
                <w:color w:val="auto"/>
                <w:kern w:val="0"/>
                <w:sz w:val="24"/>
                <w:szCs w:val="24"/>
                <w:lang w:val="en-US" w:eastAsia="zh-CN"/>
              </w:rPr>
              <w:t>0万</w:t>
            </w:r>
            <w:r>
              <w:rPr>
                <w:rFonts w:hint="eastAsia" w:ascii="Times New Roman" w:hAnsi="Times New Roman"/>
                <w:color w:val="FF0000"/>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color w:val="auto"/>
                <w:kern w:val="0"/>
                <w:sz w:val="24"/>
                <w:szCs w:val="24"/>
              </w:rPr>
            </w:pPr>
            <w:r>
              <w:rPr>
                <w:rFonts w:hint="eastAsia" w:ascii="Times New Roman" w:hAnsi="Times New Roman"/>
                <w:color w:val="auto"/>
                <w:kern w:val="0"/>
                <w:sz w:val="24"/>
                <w:szCs w:val="24"/>
                <w:lang w:val="en-US" w:eastAsia="zh-CN"/>
              </w:rPr>
              <w:t>0.04万</w:t>
            </w:r>
            <w:r>
              <w:rPr>
                <w:rFonts w:hint="eastAsia" w:ascii="Times New Roman" w:hAnsi="Times New Roman"/>
                <w:color w:val="auto"/>
                <w:kern w:val="0"/>
                <w:sz w:val="24"/>
                <w:szCs w:val="24"/>
              </w:rPr>
              <w:t>　</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政府采购金额</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ascii="Times New Roman" w:hAnsi="Times New Roman"/>
                <w:kern w:val="0"/>
                <w:sz w:val="24"/>
                <w:szCs w:val="24"/>
              </w:rPr>
              <w:t>——</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315万</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hint="default"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213.24万</w:t>
            </w:r>
          </w:p>
        </w:tc>
      </w:tr>
      <w:tr>
        <w:tblPrEx>
          <w:tblLayout w:type="fixed"/>
          <w:tblCellMar>
            <w:top w:w="0" w:type="dxa"/>
            <w:left w:w="108" w:type="dxa"/>
            <w:bottom w:w="0" w:type="dxa"/>
            <w:right w:w="108" w:type="dxa"/>
          </w:tblCellMar>
        </w:tblPrEx>
        <w:trPr>
          <w:trHeight w:val="37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rPr>
              <w:t>部门整体支出预算调整</w:t>
            </w:r>
            <w:r>
              <w:rPr>
                <w:rFonts w:ascii="Times New Roman" w:hAnsi="Times New Roman"/>
                <w:kern w:val="0"/>
                <w:sz w:val="24"/>
                <w:szCs w:val="24"/>
              </w:rPr>
              <w:t xml:space="preserve"> </w:t>
            </w:r>
          </w:p>
        </w:tc>
        <w:tc>
          <w:tcPr>
            <w:tcW w:w="187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ascii="Times New Roman" w:hAnsi="Times New Roman"/>
                <w:kern w:val="0"/>
                <w:sz w:val="24"/>
                <w:szCs w:val="24"/>
              </w:rPr>
              <w:t>——</w:t>
            </w:r>
          </w:p>
        </w:tc>
        <w:tc>
          <w:tcPr>
            <w:tcW w:w="2204"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　</w:t>
            </w:r>
          </w:p>
        </w:tc>
        <w:tc>
          <w:tcPr>
            <w:tcW w:w="2322" w:type="dxa"/>
            <w:gridSpan w:val="2"/>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　</w:t>
            </w:r>
          </w:p>
        </w:tc>
      </w:tr>
      <w:tr>
        <w:tblPrEx>
          <w:tblLayout w:type="fixed"/>
          <w:tblCellMar>
            <w:top w:w="0" w:type="dxa"/>
            <w:left w:w="108" w:type="dxa"/>
            <w:bottom w:w="0" w:type="dxa"/>
            <w:right w:w="108" w:type="dxa"/>
          </w:tblCellMar>
        </w:tblPrEx>
        <w:trPr>
          <w:trHeight w:val="856" w:hRule="atLeast"/>
          <w:jc w:val="center"/>
        </w:trPr>
        <w:tc>
          <w:tcPr>
            <w:tcW w:w="3480"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楼堂馆所控制情况</w:t>
            </w:r>
          </w:p>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w:t>
            </w:r>
            <w:r>
              <w:rPr>
                <w:rFonts w:ascii="Times New Roman" w:hAnsi="Times New Roman"/>
                <w:kern w:val="0"/>
                <w:sz w:val="24"/>
                <w:szCs w:val="24"/>
              </w:rPr>
              <w:t>201</w:t>
            </w:r>
            <w:r>
              <w:rPr>
                <w:rFonts w:hint="eastAsia" w:ascii="Times New Roman" w:hAnsi="Times New Roman"/>
                <w:kern w:val="0"/>
                <w:sz w:val="24"/>
                <w:szCs w:val="24"/>
              </w:rPr>
              <w:t>8年完工项目）</w:t>
            </w:r>
          </w:p>
        </w:tc>
        <w:tc>
          <w:tcPr>
            <w:tcW w:w="93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批复</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规模</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w:t>
            </w:r>
            <w:r>
              <w:rPr>
                <w:rFonts w:hint="eastAsia" w:ascii="Times New Roman" w:hAnsi="Times New Roman" w:eastAsia="宋体"/>
                <w:bCs/>
                <w:kern w:val="0"/>
                <w:sz w:val="24"/>
                <w:szCs w:val="24"/>
              </w:rPr>
              <w:t>㎡</w:t>
            </w:r>
            <w:r>
              <w:rPr>
                <w:rFonts w:hint="eastAsia" w:ascii="Times New Roman" w:hAnsi="Times New Roman"/>
                <w:bCs/>
                <w:kern w:val="0"/>
                <w:sz w:val="24"/>
                <w:szCs w:val="24"/>
              </w:rPr>
              <w:t>）</w:t>
            </w:r>
          </w:p>
        </w:tc>
        <w:tc>
          <w:tcPr>
            <w:tcW w:w="93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实际</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规模</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w:t>
            </w:r>
            <w:r>
              <w:rPr>
                <w:rFonts w:hint="eastAsia" w:ascii="Times New Roman" w:hAnsi="Times New Roman" w:eastAsia="宋体"/>
                <w:bCs/>
                <w:kern w:val="0"/>
                <w:sz w:val="24"/>
                <w:szCs w:val="24"/>
              </w:rPr>
              <w:t>㎡</w:t>
            </w:r>
            <w:r>
              <w:rPr>
                <w:rFonts w:hint="eastAsia" w:ascii="Times New Roman" w:hAnsi="Times New Roman"/>
                <w:bCs/>
                <w:kern w:val="0"/>
                <w:sz w:val="24"/>
                <w:szCs w:val="24"/>
              </w:rPr>
              <w:t>）</w:t>
            </w:r>
          </w:p>
        </w:tc>
        <w:tc>
          <w:tcPr>
            <w:tcW w:w="98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规</w:t>
            </w:r>
            <w:r>
              <w:rPr>
                <w:rFonts w:ascii="Times New Roman" w:hAnsi="Times New Roman"/>
                <w:bCs/>
                <w:kern w:val="0"/>
                <w:sz w:val="24"/>
                <w:szCs w:val="24"/>
              </w:rPr>
              <w:t xml:space="preserve">  </w:t>
            </w:r>
            <w:r>
              <w:rPr>
                <w:rFonts w:hint="eastAsia" w:ascii="Times New Roman" w:hAnsi="Times New Roman"/>
                <w:bCs/>
                <w:kern w:val="0"/>
                <w:sz w:val="24"/>
                <w:szCs w:val="24"/>
              </w:rPr>
              <w:t>模</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控制率</w:t>
            </w:r>
          </w:p>
        </w:tc>
        <w:tc>
          <w:tcPr>
            <w:tcW w:w="121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预算投资</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（万元）</w:t>
            </w:r>
          </w:p>
        </w:tc>
        <w:tc>
          <w:tcPr>
            <w:tcW w:w="1187"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实际投资</w:t>
            </w:r>
          </w:p>
          <w:p>
            <w:pPr>
              <w:widowControl/>
              <w:spacing w:line="280" w:lineRule="exact"/>
              <w:jc w:val="center"/>
              <w:rPr>
                <w:rFonts w:ascii="Times New Roman" w:hAnsi="Times New Roman"/>
                <w:bCs/>
                <w:kern w:val="0"/>
                <w:sz w:val="24"/>
                <w:szCs w:val="24"/>
              </w:rPr>
            </w:pPr>
            <w:r>
              <w:rPr>
                <w:rFonts w:hint="eastAsia" w:ascii="Times New Roman" w:hAnsi="Times New Roman"/>
                <w:bCs/>
                <w:kern w:val="0"/>
                <w:sz w:val="24"/>
                <w:szCs w:val="24"/>
              </w:rPr>
              <w:t>（万元）</w:t>
            </w:r>
          </w:p>
        </w:tc>
        <w:tc>
          <w:tcPr>
            <w:tcW w:w="1135"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bCs/>
                <w:spacing w:val="-6"/>
                <w:kern w:val="0"/>
                <w:sz w:val="24"/>
                <w:szCs w:val="24"/>
              </w:rPr>
            </w:pPr>
            <w:r>
              <w:rPr>
                <w:rFonts w:hint="eastAsia" w:ascii="Times New Roman" w:hAnsi="Times New Roman"/>
                <w:bCs/>
                <w:spacing w:val="-6"/>
                <w:kern w:val="0"/>
                <w:sz w:val="24"/>
                <w:szCs w:val="24"/>
              </w:rPr>
              <w:t>投资概算控制率</w:t>
            </w:r>
          </w:p>
        </w:tc>
      </w:tr>
      <w:tr>
        <w:tblPrEx>
          <w:tblLayout w:type="fixed"/>
          <w:tblCellMar>
            <w:top w:w="0" w:type="dxa"/>
            <w:left w:w="108" w:type="dxa"/>
            <w:bottom w:w="0" w:type="dxa"/>
            <w:right w:w="108" w:type="dxa"/>
          </w:tblCellMar>
        </w:tblPrEx>
        <w:trPr>
          <w:trHeight w:val="678" w:hRule="atLeast"/>
          <w:jc w:val="center"/>
        </w:trPr>
        <w:tc>
          <w:tcPr>
            <w:tcW w:w="3480"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p>
        </w:tc>
        <w:tc>
          <w:tcPr>
            <w:tcW w:w="93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lang w:val="en-US" w:eastAsia="zh-CN"/>
              </w:rPr>
              <w:t>0</w:t>
            </w:r>
            <w:r>
              <w:rPr>
                <w:rFonts w:hint="eastAsia" w:ascii="Times New Roman" w:hAnsi="Times New Roman"/>
                <w:kern w:val="0"/>
                <w:sz w:val="24"/>
                <w:szCs w:val="24"/>
              </w:rPr>
              <w:t>　</w:t>
            </w:r>
          </w:p>
        </w:tc>
        <w:tc>
          <w:tcPr>
            <w:tcW w:w="936"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0</w:t>
            </w:r>
          </w:p>
        </w:tc>
        <w:tc>
          <w:tcPr>
            <w:tcW w:w="98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0</w:t>
            </w:r>
          </w:p>
        </w:tc>
        <w:tc>
          <w:tcPr>
            <w:tcW w:w="121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0</w:t>
            </w:r>
          </w:p>
        </w:tc>
        <w:tc>
          <w:tcPr>
            <w:tcW w:w="118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0</w:t>
            </w:r>
          </w:p>
        </w:tc>
        <w:tc>
          <w:tcPr>
            <w:tcW w:w="1135"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0</w:t>
            </w:r>
          </w:p>
        </w:tc>
      </w:tr>
      <w:tr>
        <w:tblPrEx>
          <w:tblLayout w:type="fixed"/>
          <w:tblCellMar>
            <w:top w:w="0" w:type="dxa"/>
            <w:left w:w="108" w:type="dxa"/>
            <w:bottom w:w="0" w:type="dxa"/>
            <w:right w:w="108" w:type="dxa"/>
          </w:tblCellMar>
        </w:tblPrEx>
        <w:trPr>
          <w:trHeight w:val="651" w:hRule="atLeast"/>
          <w:jc w:val="center"/>
        </w:trPr>
        <w:tc>
          <w:tcPr>
            <w:tcW w:w="3480" w:type="dxa"/>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厉行节约保障措施</w:t>
            </w:r>
          </w:p>
        </w:tc>
        <w:tc>
          <w:tcPr>
            <w:tcW w:w="6398" w:type="dxa"/>
            <w:gridSpan w:val="6"/>
            <w:tcBorders>
              <w:top w:val="single" w:color="auto" w:sz="4" w:space="0"/>
              <w:left w:val="nil"/>
              <w:bottom w:val="single" w:color="auto" w:sz="4" w:space="0"/>
              <w:right w:val="single" w:color="000000" w:sz="4" w:space="0"/>
            </w:tcBorders>
            <w:vAlign w:val="center"/>
          </w:tcPr>
          <w:p>
            <w:pPr>
              <w:widowControl/>
              <w:spacing w:line="280" w:lineRule="exact"/>
              <w:jc w:val="center"/>
              <w:rPr>
                <w:rFonts w:ascii="Times New Roman" w:hAnsi="Times New Roman"/>
                <w:kern w:val="0"/>
                <w:sz w:val="24"/>
                <w:szCs w:val="24"/>
              </w:rPr>
            </w:pPr>
            <w:r>
              <w:rPr>
                <w:rFonts w:hint="eastAsia" w:ascii="Times New Roman" w:hAnsi="Times New Roman"/>
                <w:kern w:val="0"/>
                <w:sz w:val="24"/>
                <w:szCs w:val="24"/>
              </w:rPr>
              <w:t>厉行节约反对浪费工作制度　</w:t>
            </w:r>
          </w:p>
        </w:tc>
      </w:tr>
      <w:tr>
        <w:tblPrEx>
          <w:tblLayout w:type="fixed"/>
          <w:tblCellMar>
            <w:top w:w="0" w:type="dxa"/>
            <w:left w:w="108" w:type="dxa"/>
            <w:bottom w:w="0" w:type="dxa"/>
            <w:right w:w="108" w:type="dxa"/>
          </w:tblCellMar>
        </w:tblPrEx>
        <w:trPr>
          <w:trHeight w:val="700" w:hRule="atLeast"/>
          <w:jc w:val="center"/>
        </w:trPr>
        <w:tc>
          <w:tcPr>
            <w:tcW w:w="9878" w:type="dxa"/>
            <w:gridSpan w:val="7"/>
            <w:tcBorders>
              <w:top w:val="single" w:color="auto" w:sz="4" w:space="0"/>
              <w:left w:val="nil"/>
              <w:bottom w:val="nil"/>
              <w:right w:val="nil"/>
            </w:tcBorders>
            <w:vAlign w:val="center"/>
          </w:tcPr>
          <w:p>
            <w:pPr>
              <w:widowControl/>
              <w:spacing w:line="340" w:lineRule="exact"/>
              <w:jc w:val="left"/>
              <w:rPr>
                <w:rFonts w:ascii="Times New Roman" w:hAnsi="Times New Roman"/>
                <w:kern w:val="0"/>
                <w:sz w:val="22"/>
                <w:szCs w:val="24"/>
              </w:rPr>
            </w:pPr>
            <w:r>
              <w:rPr>
                <w:rFonts w:hint="eastAsia" w:ascii="Times New Roman" w:hAnsi="Times New Roman"/>
                <w:kern w:val="0"/>
                <w:sz w:val="22"/>
                <w:szCs w:val="24"/>
              </w:rPr>
              <w:t>说明：</w:t>
            </w:r>
            <w:r>
              <w:rPr>
                <w:rFonts w:ascii="Times New Roman" w:hAnsi="Times New Roman"/>
                <w:kern w:val="0"/>
                <w:sz w:val="22"/>
                <w:szCs w:val="24"/>
              </w:rPr>
              <w:t>“</w:t>
            </w:r>
            <w:r>
              <w:rPr>
                <w:rFonts w:hint="eastAsia" w:ascii="Times New Roman" w:hAnsi="Times New Roman"/>
                <w:kern w:val="0"/>
                <w:sz w:val="22"/>
                <w:szCs w:val="24"/>
              </w:rPr>
              <w:t>项目支出</w:t>
            </w:r>
            <w:r>
              <w:rPr>
                <w:rFonts w:ascii="Times New Roman" w:hAnsi="Times New Roman"/>
                <w:kern w:val="0"/>
                <w:sz w:val="22"/>
                <w:szCs w:val="24"/>
              </w:rPr>
              <w:t>”</w:t>
            </w:r>
            <w:r>
              <w:rPr>
                <w:rFonts w:hint="eastAsia" w:ascii="Times New Roman" w:hAnsi="Times New Roman"/>
                <w:kern w:val="0"/>
                <w:sz w:val="22"/>
                <w:szCs w:val="24"/>
              </w:rPr>
              <w:t>需要填报除专项资金和基本支出以外的所有项目情况，包括业务工作项目、运行维护项目等；</w:t>
            </w:r>
            <w:r>
              <w:rPr>
                <w:rFonts w:ascii="Times New Roman" w:hAnsi="Times New Roman"/>
                <w:kern w:val="0"/>
                <w:sz w:val="22"/>
                <w:szCs w:val="24"/>
              </w:rPr>
              <w:t>“</w:t>
            </w:r>
            <w:r>
              <w:rPr>
                <w:rFonts w:hint="eastAsia" w:ascii="Times New Roman" w:hAnsi="Times New Roman"/>
                <w:kern w:val="0"/>
                <w:sz w:val="22"/>
                <w:szCs w:val="24"/>
              </w:rPr>
              <w:t>公用经费</w:t>
            </w:r>
            <w:r>
              <w:rPr>
                <w:rFonts w:ascii="Times New Roman" w:hAnsi="Times New Roman"/>
                <w:kern w:val="0"/>
                <w:sz w:val="22"/>
                <w:szCs w:val="24"/>
              </w:rPr>
              <w:t>”</w:t>
            </w:r>
            <w:r>
              <w:rPr>
                <w:rFonts w:hint="eastAsia" w:ascii="Times New Roman" w:hAnsi="Times New Roman"/>
                <w:kern w:val="0"/>
                <w:sz w:val="22"/>
                <w:szCs w:val="24"/>
              </w:rPr>
              <w:t>填报基本支出中的一般商品和服务支出。</w:t>
            </w:r>
          </w:p>
        </w:tc>
      </w:tr>
    </w:tbl>
    <w:p>
      <w:pPr>
        <w:rPr>
          <w:rFonts w:ascii="Times New Roman" w:hAnsi="Times New Roman"/>
        </w:rPr>
      </w:pPr>
    </w:p>
    <w:p>
      <w:pPr>
        <w:spacing w:line="600" w:lineRule="exact"/>
        <w:rPr>
          <w:rFonts w:ascii="Times New Roman" w:hAnsi="Times New Roman" w:eastAsia="楷体_GB2312"/>
        </w:rPr>
        <w:sectPr>
          <w:footerReference r:id="rId6" w:type="first"/>
          <w:footerReference r:id="rId4" w:type="default"/>
          <w:footerReference r:id="rId5" w:type="even"/>
          <w:pgSz w:w="11906" w:h="16838"/>
          <w:pgMar w:top="1701" w:right="1587" w:bottom="1417" w:left="1701" w:header="851" w:footer="992" w:gutter="0"/>
          <w:pgNumType w:fmt="numberInDash"/>
          <w:cols w:space="720" w:num="1"/>
          <w:docGrid w:type="lines" w:linePitch="312" w:charSpace="0"/>
        </w:sectPr>
      </w:pPr>
    </w:p>
    <w:p>
      <w:pPr>
        <w:spacing w:line="600" w:lineRule="exact"/>
        <w:rPr>
          <w:rFonts w:ascii="Times New Roman" w:hAnsi="Times New Roman" w:eastAsia="楷体_GB2312"/>
        </w:rPr>
      </w:pPr>
      <w:r>
        <w:rPr>
          <w:rFonts w:hint="eastAsia" w:ascii="Times New Roman" w:hAnsi="Times New Roman" w:eastAsia="楷体_GB2312"/>
        </w:rPr>
        <w:t>附件4</w:t>
      </w:r>
    </w:p>
    <w:p>
      <w:pPr>
        <w:widowControl/>
        <w:spacing w:line="240" w:lineRule="auto"/>
        <w:ind w:left="91"/>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 xml:space="preserve">  </w:t>
      </w:r>
      <w:r>
        <w:rPr>
          <w:rFonts w:ascii="Times New Roman" w:hAnsi="Times New Roman" w:eastAsia="方正小标宋简体"/>
          <w:kern w:val="0"/>
          <w:sz w:val="44"/>
          <w:szCs w:val="44"/>
          <w:u w:val="single"/>
        </w:rPr>
        <w:t xml:space="preserve"> </w:t>
      </w:r>
      <w:r>
        <w:rPr>
          <w:rFonts w:hint="eastAsia" w:ascii="Times New Roman" w:hAnsi="Times New Roman" w:eastAsia="方正小标宋简体"/>
          <w:kern w:val="0"/>
          <w:sz w:val="44"/>
          <w:szCs w:val="44"/>
          <w:u w:val="single"/>
          <w:lang w:eastAsia="zh-CN"/>
        </w:rPr>
        <w:t>区旅游局</w:t>
      </w:r>
      <w:r>
        <w:rPr>
          <w:rFonts w:ascii="Times New Roman" w:hAnsi="Times New Roman" w:eastAsia="方正小标宋简体"/>
          <w:kern w:val="0"/>
          <w:sz w:val="44"/>
          <w:szCs w:val="44"/>
          <w:u w:val="single"/>
        </w:rPr>
        <w:t xml:space="preserve"> </w:t>
      </w:r>
      <w:r>
        <w:rPr>
          <w:rFonts w:hint="eastAsia" w:ascii="Times New Roman" w:hAnsi="Times New Roman" w:eastAsia="方正小标宋简体"/>
          <w:kern w:val="0"/>
          <w:sz w:val="44"/>
          <w:szCs w:val="44"/>
        </w:rPr>
        <w:t>部门整体支出绩效评价自评表</w:t>
      </w:r>
    </w:p>
    <w:tbl>
      <w:tblPr>
        <w:tblStyle w:val="6"/>
        <w:tblW w:w="10392" w:type="dxa"/>
        <w:jc w:val="center"/>
        <w:tblInd w:w="0" w:type="dxa"/>
        <w:tblLayout w:type="fixed"/>
        <w:tblCellMar>
          <w:top w:w="0" w:type="dxa"/>
          <w:left w:w="108" w:type="dxa"/>
          <w:bottom w:w="0" w:type="dxa"/>
          <w:right w:w="108" w:type="dxa"/>
        </w:tblCellMar>
      </w:tblPr>
      <w:tblGrid>
        <w:gridCol w:w="648"/>
        <w:gridCol w:w="416"/>
        <w:gridCol w:w="673"/>
        <w:gridCol w:w="416"/>
        <w:gridCol w:w="1072"/>
        <w:gridCol w:w="416"/>
        <w:gridCol w:w="2324"/>
        <w:gridCol w:w="3153"/>
        <w:gridCol w:w="637"/>
        <w:gridCol w:w="637"/>
      </w:tblGrid>
      <w:tr>
        <w:tblPrEx>
          <w:tblLayout w:type="fixed"/>
          <w:tblCellMar>
            <w:top w:w="0" w:type="dxa"/>
            <w:left w:w="108" w:type="dxa"/>
            <w:bottom w:w="0" w:type="dxa"/>
            <w:right w:w="108" w:type="dxa"/>
          </w:tblCellMar>
        </w:tblPrEx>
        <w:trPr>
          <w:trHeight w:val="483" w:hRule="atLeast"/>
          <w:tblHeader/>
          <w:jc w:val="center"/>
        </w:trPr>
        <w:tc>
          <w:tcPr>
            <w:tcW w:w="648"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一级指标</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分值</w:t>
            </w:r>
          </w:p>
        </w:tc>
        <w:tc>
          <w:tcPr>
            <w:tcW w:w="673"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二级指标</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分值</w:t>
            </w: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三级</w:t>
            </w:r>
          </w:p>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指标</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分值</w:t>
            </w:r>
          </w:p>
        </w:tc>
        <w:tc>
          <w:tcPr>
            <w:tcW w:w="2324"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评价标准</w:t>
            </w:r>
          </w:p>
        </w:tc>
        <w:tc>
          <w:tcPr>
            <w:tcW w:w="3153"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指标说明</w:t>
            </w:r>
          </w:p>
        </w:tc>
        <w:tc>
          <w:tcPr>
            <w:tcW w:w="637"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得分</w:t>
            </w:r>
          </w:p>
        </w:tc>
        <w:tc>
          <w:tcPr>
            <w:tcW w:w="637" w:type="dxa"/>
            <w:tcBorders>
              <w:top w:val="single" w:color="auto" w:sz="4" w:space="0"/>
              <w:left w:val="nil"/>
              <w:bottom w:val="single" w:color="auto" w:sz="4" w:space="0"/>
              <w:right w:val="single" w:color="auto" w:sz="4" w:space="0"/>
            </w:tcBorders>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得分依据</w:t>
            </w:r>
          </w:p>
        </w:tc>
      </w:tr>
      <w:tr>
        <w:tblPrEx>
          <w:tblLayout w:type="fixed"/>
          <w:tblCellMar>
            <w:top w:w="0" w:type="dxa"/>
            <w:left w:w="108" w:type="dxa"/>
            <w:bottom w:w="0" w:type="dxa"/>
            <w:right w:w="108" w:type="dxa"/>
          </w:tblCellMar>
        </w:tblPrEx>
        <w:trPr>
          <w:jc w:val="center"/>
        </w:trPr>
        <w:tc>
          <w:tcPr>
            <w:tcW w:w="648"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投入</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13</w:t>
            </w:r>
          </w:p>
        </w:tc>
        <w:tc>
          <w:tcPr>
            <w:tcW w:w="673" w:type="dxa"/>
            <w:vMerge w:val="restart"/>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预算配置</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13</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在职人员控制率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324" w:type="dxa"/>
            <w:tcBorders>
              <w:top w:val="nil"/>
              <w:left w:val="nil"/>
              <w:bottom w:val="nil"/>
              <w:right w:val="nil"/>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以</w:t>
            </w:r>
            <w:r>
              <w:rPr>
                <w:rFonts w:ascii="Times New Roman" w:hAnsi="Times New Roman"/>
                <w:kern w:val="0"/>
                <w:sz w:val="20"/>
                <w:szCs w:val="20"/>
              </w:rPr>
              <w:t>100%</w:t>
            </w:r>
            <w:r>
              <w:rPr>
                <w:rFonts w:hint="eastAsia" w:ascii="Times New Roman" w:hAnsi="Times New Roman"/>
                <w:kern w:val="0"/>
                <w:sz w:val="20"/>
                <w:szCs w:val="20"/>
              </w:rPr>
              <w:t>为标准。在职人员控制率</w:t>
            </w:r>
            <w:r>
              <w:rPr>
                <w:rFonts w:hint="eastAsia" w:ascii="宋体" w:hAnsi="宋体" w:eastAsia="宋体" w:cs="宋体"/>
                <w:kern w:val="0"/>
                <w:sz w:val="20"/>
                <w:szCs w:val="20"/>
              </w:rPr>
              <w:t>≦</w:t>
            </w:r>
            <w:r>
              <w:rPr>
                <w:rFonts w:ascii="Times New Roman" w:hAnsi="Times New Roman"/>
                <w:kern w:val="0"/>
                <w:sz w:val="20"/>
                <w:szCs w:val="20"/>
              </w:rPr>
              <w:t>100%</w:t>
            </w:r>
            <w:r>
              <w:rPr>
                <w:rFonts w:hint="eastAsia" w:ascii="Times New Roman" w:hAnsi="Times New Roman"/>
                <w:kern w:val="0"/>
                <w:sz w:val="20"/>
                <w:szCs w:val="20"/>
              </w:rPr>
              <w:t>，计</w:t>
            </w:r>
            <w:r>
              <w:rPr>
                <w:rFonts w:ascii="Times New Roman" w:hAnsi="Times New Roman"/>
                <w:kern w:val="0"/>
                <w:sz w:val="20"/>
                <w:szCs w:val="20"/>
              </w:rPr>
              <w:t>5</w:t>
            </w:r>
            <w:r>
              <w:rPr>
                <w:rFonts w:hint="eastAsia" w:ascii="Times New Roman" w:hAnsi="Times New Roman"/>
                <w:kern w:val="0"/>
                <w:sz w:val="20"/>
                <w:szCs w:val="20"/>
              </w:rPr>
              <w:t>分；每超过一个百分点扣</w:t>
            </w:r>
            <w:r>
              <w:rPr>
                <w:rFonts w:ascii="Times New Roman" w:hAnsi="Times New Roman"/>
                <w:kern w:val="0"/>
                <w:sz w:val="20"/>
                <w:szCs w:val="20"/>
              </w:rPr>
              <w:t>0.5</w:t>
            </w:r>
            <w:r>
              <w:rPr>
                <w:rFonts w:hint="eastAsia" w:ascii="Times New Roman" w:hAnsi="Times New Roman"/>
                <w:kern w:val="0"/>
                <w:sz w:val="20"/>
                <w:szCs w:val="20"/>
              </w:rPr>
              <w:t>分，扣完为止。</w:t>
            </w:r>
          </w:p>
        </w:tc>
        <w:tc>
          <w:tcPr>
            <w:tcW w:w="3153"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在职人员控制率</w:t>
            </w:r>
            <w:r>
              <w:rPr>
                <w:rFonts w:ascii="Times New Roman" w:hAnsi="Times New Roman"/>
                <w:kern w:val="0"/>
                <w:sz w:val="20"/>
                <w:szCs w:val="20"/>
              </w:rPr>
              <w:t>=</w:t>
            </w:r>
            <w:r>
              <w:rPr>
                <w:rFonts w:hint="eastAsia" w:ascii="Times New Roman" w:hAnsi="Times New Roman"/>
                <w:kern w:val="0"/>
                <w:sz w:val="20"/>
                <w:szCs w:val="20"/>
              </w:rPr>
              <w:t>（在职人员数</w:t>
            </w:r>
            <w:r>
              <w:rPr>
                <w:rFonts w:ascii="Times New Roman" w:hAnsi="Times New Roman"/>
                <w:kern w:val="0"/>
                <w:sz w:val="20"/>
                <w:szCs w:val="20"/>
              </w:rPr>
              <w:t>/</w:t>
            </w:r>
            <w:r>
              <w:rPr>
                <w:rFonts w:hint="eastAsia" w:ascii="Times New Roman" w:hAnsi="Times New Roman"/>
                <w:kern w:val="0"/>
                <w:sz w:val="20"/>
                <w:szCs w:val="20"/>
              </w:rPr>
              <w:t>编制数）</w:t>
            </w:r>
            <w:r>
              <w:rPr>
                <w:rFonts w:ascii="Times New Roman" w:hAnsi="Times New Roman"/>
                <w:kern w:val="0"/>
                <w:sz w:val="20"/>
                <w:szCs w:val="20"/>
              </w:rPr>
              <w:t>×100%</w:t>
            </w:r>
            <w:r>
              <w:rPr>
                <w:rFonts w:hint="eastAsia" w:ascii="Times New Roman" w:hAnsi="Times New Roman"/>
                <w:kern w:val="0"/>
                <w:sz w:val="20"/>
                <w:szCs w:val="20"/>
              </w:rPr>
              <w:t>，在职人员数：部门（单位）实际在职人数。</w:t>
            </w:r>
          </w:p>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编制数：机构编制部门核定批复的部门（单位）的人员编制数。</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5</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nil"/>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三公经费</w:t>
            </w:r>
          </w:p>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变动率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8</w:t>
            </w:r>
          </w:p>
        </w:tc>
        <w:tc>
          <w:tcPr>
            <w:tcW w:w="2324"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变动率</w:t>
            </w:r>
            <w:r>
              <w:rPr>
                <w:rFonts w:hint="eastAsia" w:ascii="宋体" w:hAnsi="宋体" w:eastAsia="宋体" w:cs="宋体"/>
                <w:kern w:val="0"/>
                <w:sz w:val="20"/>
                <w:szCs w:val="20"/>
              </w:rPr>
              <w:t>≦</w:t>
            </w:r>
            <w:r>
              <w:rPr>
                <w:rFonts w:ascii="Times New Roman" w:hAnsi="Times New Roman"/>
                <w:kern w:val="0"/>
                <w:sz w:val="20"/>
                <w:szCs w:val="20"/>
              </w:rPr>
              <w:t>0</w:t>
            </w:r>
            <w:r>
              <w:rPr>
                <w:rFonts w:hint="eastAsia" w:ascii="Times New Roman" w:hAnsi="Times New Roman"/>
                <w:kern w:val="0"/>
                <w:sz w:val="20"/>
                <w:szCs w:val="20"/>
              </w:rPr>
              <w:t>，计</w:t>
            </w:r>
            <w:r>
              <w:rPr>
                <w:rFonts w:ascii="Times New Roman" w:hAnsi="Times New Roman"/>
                <w:kern w:val="0"/>
                <w:sz w:val="20"/>
                <w:szCs w:val="20"/>
              </w:rPr>
              <w:t>8</w:t>
            </w:r>
            <w:r>
              <w:rPr>
                <w:rFonts w:hint="eastAsia" w:ascii="Times New Roman" w:hAnsi="Times New Roman"/>
                <w:kern w:val="0"/>
                <w:sz w:val="20"/>
                <w:szCs w:val="20"/>
              </w:rPr>
              <w:t>分；</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w:t>
            </w:r>
            <w:r>
              <w:rPr>
                <w:rFonts w:ascii="Times New Roman" w:hAnsi="Times New Roman"/>
                <w:kern w:val="0"/>
                <w:sz w:val="20"/>
                <w:szCs w:val="20"/>
              </w:rPr>
              <w:t>0</w:t>
            </w:r>
            <w:r>
              <w:rPr>
                <w:rFonts w:hint="eastAsia" w:ascii="Times New Roman" w:hAnsi="Times New Roman"/>
                <w:kern w:val="0"/>
                <w:sz w:val="20"/>
                <w:szCs w:val="20"/>
              </w:rPr>
              <w:t>，每超过一个百分点扣</w:t>
            </w:r>
            <w:r>
              <w:rPr>
                <w:rFonts w:ascii="Times New Roman" w:hAnsi="Times New Roman"/>
                <w:kern w:val="0"/>
                <w:sz w:val="20"/>
                <w:szCs w:val="20"/>
              </w:rPr>
              <w:t>0.8</w:t>
            </w:r>
            <w:r>
              <w:rPr>
                <w:rFonts w:hint="eastAsia" w:ascii="Times New Roman" w:hAnsi="Times New Roman"/>
                <w:kern w:val="0"/>
                <w:sz w:val="20"/>
                <w:szCs w:val="20"/>
              </w:rPr>
              <w:t>分，扣完为止。</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变动率</w:t>
            </w:r>
            <w:r>
              <w:rPr>
                <w:rFonts w:ascii="Times New Roman" w:hAnsi="Times New Roman"/>
                <w:kern w:val="0"/>
                <w:sz w:val="20"/>
                <w:szCs w:val="20"/>
              </w:rPr>
              <w:t>=[</w:t>
            </w:r>
            <w:r>
              <w:rPr>
                <w:rFonts w:hint="eastAsia" w:ascii="Times New Roman" w:hAnsi="Times New Roman"/>
                <w:kern w:val="0"/>
                <w:sz w:val="20"/>
                <w:szCs w:val="20"/>
              </w:rPr>
              <w:t>（本年度</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预算数</w:t>
            </w:r>
            <w:r>
              <w:rPr>
                <w:rFonts w:ascii="Times New Roman" w:hAnsi="Times New Roman"/>
                <w:kern w:val="0"/>
                <w:sz w:val="20"/>
                <w:szCs w:val="20"/>
              </w:rPr>
              <w:t>-</w:t>
            </w:r>
            <w:r>
              <w:rPr>
                <w:rFonts w:hint="eastAsia" w:ascii="Times New Roman" w:hAnsi="Times New Roman"/>
                <w:kern w:val="0"/>
                <w:sz w:val="20"/>
                <w:szCs w:val="20"/>
              </w:rPr>
              <w:t>上年度</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预算数）</w:t>
            </w:r>
            <w:r>
              <w:rPr>
                <w:rFonts w:ascii="Times New Roman" w:hAnsi="Times New Roman"/>
                <w:kern w:val="0"/>
                <w:sz w:val="20"/>
                <w:szCs w:val="20"/>
              </w:rPr>
              <w:t>/</w:t>
            </w:r>
            <w:r>
              <w:rPr>
                <w:rFonts w:hint="eastAsia" w:ascii="Times New Roman" w:hAnsi="Times New Roman"/>
                <w:kern w:val="0"/>
                <w:sz w:val="20"/>
                <w:szCs w:val="20"/>
              </w:rPr>
              <w:t>上年度</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预算数</w:t>
            </w:r>
            <w:r>
              <w:rPr>
                <w:rFonts w:ascii="Times New Roman" w:hAnsi="Times New Roman"/>
                <w:kern w:val="0"/>
                <w:sz w:val="20"/>
                <w:szCs w:val="20"/>
              </w:rPr>
              <w:t>]×100%</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8</w:t>
            </w:r>
          </w:p>
        </w:tc>
        <w:tc>
          <w:tcPr>
            <w:tcW w:w="637" w:type="dxa"/>
            <w:tcBorders>
              <w:top w:val="nil"/>
              <w:left w:val="nil"/>
              <w:bottom w:val="single" w:color="auto" w:sz="4" w:space="0"/>
              <w:right w:val="single" w:color="auto" w:sz="4" w:space="0"/>
            </w:tcBorders>
          </w:tcPr>
          <w:p>
            <w:pPr>
              <w:widowControl/>
              <w:spacing w:line="280" w:lineRule="exact"/>
              <w:jc w:val="left"/>
              <w:rPr>
                <w:rFonts w:hint="default" w:ascii="Times New Roman" w:hAnsi="Times New Roman" w:eastAsia="仿宋_GB2312"/>
                <w:kern w:val="0"/>
                <w:sz w:val="24"/>
                <w:szCs w:val="24"/>
                <w:lang w:val="en-US" w:eastAsia="zh-CN"/>
              </w:rPr>
            </w:pP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变动率</w:t>
            </w:r>
            <w:r>
              <w:rPr>
                <w:rFonts w:ascii="Times New Roman" w:hAnsi="Times New Roman"/>
                <w:kern w:val="0"/>
                <w:sz w:val="20"/>
                <w:szCs w:val="20"/>
              </w:rPr>
              <w:t>=</w:t>
            </w:r>
            <w:r>
              <w:rPr>
                <w:rFonts w:hint="eastAsia" w:ascii="Times New Roman" w:hAnsi="Times New Roman"/>
                <w:kern w:val="0"/>
                <w:sz w:val="20"/>
                <w:szCs w:val="20"/>
                <w:lang w:val="en-US" w:eastAsia="zh-CN"/>
              </w:rPr>
              <w:t>-75%</w:t>
            </w:r>
          </w:p>
        </w:tc>
      </w:tr>
      <w:tr>
        <w:tblPrEx>
          <w:tblLayout w:type="fixed"/>
          <w:tblCellMar>
            <w:top w:w="0" w:type="dxa"/>
            <w:left w:w="108" w:type="dxa"/>
            <w:bottom w:w="0" w:type="dxa"/>
            <w:right w:w="108" w:type="dxa"/>
          </w:tblCellMar>
        </w:tblPrEx>
        <w:trPr>
          <w:jc w:val="center"/>
        </w:trPr>
        <w:tc>
          <w:tcPr>
            <w:tcW w:w="648"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过程</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61</w:t>
            </w:r>
          </w:p>
        </w:tc>
        <w:tc>
          <w:tcPr>
            <w:tcW w:w="673"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预算执行</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20</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预算</w:t>
            </w:r>
          </w:p>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完成率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计满分，每低于</w:t>
            </w:r>
            <w:r>
              <w:rPr>
                <w:rFonts w:ascii="Times New Roman" w:hAnsi="Times New Roman"/>
                <w:kern w:val="0"/>
                <w:sz w:val="20"/>
                <w:szCs w:val="20"/>
              </w:rPr>
              <w:t>5%</w:t>
            </w:r>
            <w:r>
              <w:rPr>
                <w:rFonts w:hint="eastAsia" w:ascii="Times New Roman" w:hAnsi="Times New Roman"/>
                <w:kern w:val="0"/>
                <w:sz w:val="20"/>
                <w:szCs w:val="20"/>
              </w:rPr>
              <w:t>扣</w:t>
            </w:r>
            <w:r>
              <w:rPr>
                <w:rFonts w:ascii="Times New Roman" w:hAnsi="Times New Roman"/>
                <w:kern w:val="0"/>
                <w:sz w:val="20"/>
                <w:szCs w:val="20"/>
              </w:rPr>
              <w:t>2</w:t>
            </w:r>
            <w:r>
              <w:rPr>
                <w:rFonts w:hint="eastAsia" w:ascii="Times New Roman" w:hAnsi="Times New Roman"/>
                <w:kern w:val="0"/>
                <w:sz w:val="20"/>
                <w:szCs w:val="20"/>
              </w:rPr>
              <w:t>分，扣完为止。</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预算完成率</w:t>
            </w:r>
            <w:r>
              <w:rPr>
                <w:rFonts w:ascii="Times New Roman" w:hAnsi="Times New Roman"/>
                <w:kern w:val="0"/>
                <w:sz w:val="20"/>
                <w:szCs w:val="20"/>
              </w:rPr>
              <w:t>=</w:t>
            </w:r>
            <w:r>
              <w:rPr>
                <w:rFonts w:hint="eastAsia" w:ascii="Times New Roman" w:hAnsi="Times New Roman"/>
                <w:kern w:val="0"/>
                <w:sz w:val="20"/>
                <w:szCs w:val="20"/>
              </w:rPr>
              <w:t>（上年结转</w:t>
            </w:r>
            <w:r>
              <w:rPr>
                <w:rFonts w:ascii="Times New Roman" w:hAnsi="Times New Roman"/>
                <w:kern w:val="0"/>
                <w:sz w:val="20"/>
                <w:szCs w:val="20"/>
              </w:rPr>
              <w:t>+</w:t>
            </w:r>
            <w:r>
              <w:rPr>
                <w:rFonts w:hint="eastAsia" w:ascii="Times New Roman" w:hAnsi="Times New Roman"/>
                <w:kern w:val="0"/>
                <w:sz w:val="20"/>
                <w:szCs w:val="20"/>
              </w:rPr>
              <w:t>年初预算</w:t>
            </w:r>
            <w:r>
              <w:rPr>
                <w:rFonts w:ascii="Times New Roman" w:hAnsi="Times New Roman"/>
                <w:kern w:val="0"/>
                <w:sz w:val="20"/>
                <w:szCs w:val="20"/>
              </w:rPr>
              <w:t>+</w:t>
            </w:r>
            <w:r>
              <w:rPr>
                <w:rFonts w:hint="eastAsia" w:ascii="Times New Roman" w:hAnsi="Times New Roman"/>
                <w:kern w:val="0"/>
                <w:sz w:val="20"/>
                <w:szCs w:val="20"/>
              </w:rPr>
              <w:t>本年追加预算</w:t>
            </w:r>
            <w:r>
              <w:rPr>
                <w:rFonts w:ascii="Times New Roman" w:hAnsi="Times New Roman"/>
                <w:kern w:val="0"/>
                <w:sz w:val="20"/>
                <w:szCs w:val="20"/>
              </w:rPr>
              <w:t>-</w:t>
            </w:r>
            <w:r>
              <w:rPr>
                <w:rFonts w:hint="eastAsia" w:ascii="Times New Roman" w:hAnsi="Times New Roman"/>
                <w:kern w:val="0"/>
                <w:sz w:val="20"/>
                <w:szCs w:val="20"/>
              </w:rPr>
              <w:t>年末结余</w:t>
            </w:r>
            <w:r>
              <w:rPr>
                <w:rFonts w:ascii="Times New Roman" w:hAnsi="Times New Roman"/>
                <w:kern w:val="0"/>
                <w:sz w:val="20"/>
                <w:szCs w:val="20"/>
              </w:rPr>
              <w:t>/</w:t>
            </w:r>
            <w:r>
              <w:rPr>
                <w:rFonts w:hint="eastAsia" w:ascii="Times New Roman" w:hAnsi="Times New Roman"/>
                <w:kern w:val="0"/>
                <w:sz w:val="20"/>
                <w:szCs w:val="20"/>
              </w:rPr>
              <w:t>上年结转</w:t>
            </w:r>
            <w:r>
              <w:rPr>
                <w:rFonts w:ascii="Times New Roman" w:hAnsi="Times New Roman"/>
                <w:kern w:val="0"/>
                <w:sz w:val="20"/>
                <w:szCs w:val="20"/>
              </w:rPr>
              <w:t>+</w:t>
            </w:r>
            <w:r>
              <w:rPr>
                <w:rFonts w:hint="eastAsia" w:ascii="Times New Roman" w:hAnsi="Times New Roman"/>
                <w:kern w:val="0"/>
                <w:sz w:val="20"/>
                <w:szCs w:val="20"/>
              </w:rPr>
              <w:t>年初预算</w:t>
            </w:r>
            <w:r>
              <w:rPr>
                <w:rFonts w:ascii="Times New Roman" w:hAnsi="Times New Roman"/>
                <w:kern w:val="0"/>
                <w:sz w:val="20"/>
                <w:szCs w:val="20"/>
              </w:rPr>
              <w:t>+</w:t>
            </w:r>
            <w:r>
              <w:rPr>
                <w:rFonts w:hint="eastAsia" w:ascii="Times New Roman" w:hAnsi="Times New Roman"/>
                <w:kern w:val="0"/>
                <w:sz w:val="20"/>
                <w:szCs w:val="20"/>
              </w:rPr>
              <w:t>本年追加预算）</w:t>
            </w:r>
            <w:r>
              <w:rPr>
                <w:rFonts w:ascii="Times New Roman" w:hAnsi="Times New Roman"/>
                <w:kern w:val="0"/>
                <w:sz w:val="20"/>
                <w:szCs w:val="20"/>
              </w:rPr>
              <w:t>×100%</w:t>
            </w:r>
            <w:r>
              <w:rPr>
                <w:rFonts w:hint="eastAsia" w:ascii="Times New Roman" w:hAnsi="Times New Roman"/>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5</w:t>
            </w:r>
          </w:p>
        </w:tc>
        <w:tc>
          <w:tcPr>
            <w:tcW w:w="637" w:type="dxa"/>
            <w:tcBorders>
              <w:top w:val="nil"/>
              <w:left w:val="nil"/>
              <w:bottom w:val="single" w:color="auto" w:sz="4" w:space="0"/>
              <w:right w:val="single" w:color="auto" w:sz="4" w:space="0"/>
            </w:tcBorders>
          </w:tcPr>
          <w:p>
            <w:pPr>
              <w:widowControl/>
              <w:spacing w:line="280" w:lineRule="exact"/>
              <w:jc w:val="left"/>
              <w:rPr>
                <w:rFonts w:hint="default" w:ascii="Times New Roman" w:hAnsi="Times New Roman" w:eastAsia="仿宋_GB2312"/>
                <w:kern w:val="0"/>
                <w:sz w:val="24"/>
                <w:szCs w:val="24"/>
                <w:lang w:val="en-US" w:eastAsia="zh-CN"/>
              </w:rPr>
            </w:pPr>
            <w:r>
              <w:rPr>
                <w:rFonts w:hint="eastAsia" w:ascii="Times New Roman" w:hAnsi="Times New Roman"/>
                <w:kern w:val="0"/>
                <w:sz w:val="20"/>
                <w:szCs w:val="20"/>
              </w:rPr>
              <w:t>预算完成率</w:t>
            </w:r>
            <w:r>
              <w:rPr>
                <w:rFonts w:hint="eastAsia" w:ascii="Times New Roman" w:hAnsi="Times New Roman"/>
                <w:kern w:val="0"/>
                <w:sz w:val="20"/>
                <w:szCs w:val="20"/>
                <w:lang w:val="en-US" w:eastAsia="zh-CN"/>
              </w:rPr>
              <w:t>=100%</w:t>
            </w:r>
          </w:p>
        </w:tc>
      </w:tr>
      <w:tr>
        <w:tblPrEx>
          <w:tblLayout w:type="fixed"/>
          <w:tblCellMar>
            <w:top w:w="0" w:type="dxa"/>
            <w:left w:w="108" w:type="dxa"/>
            <w:bottom w:w="0" w:type="dxa"/>
            <w:right w:w="108" w:type="dxa"/>
          </w:tblCellMar>
        </w:tblPrEx>
        <w:trPr>
          <w:trHeight w:val="973"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预算</w:t>
            </w:r>
          </w:p>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预算控制率</w:t>
            </w:r>
            <w:r>
              <w:rPr>
                <w:rFonts w:ascii="Times New Roman" w:hAnsi="Times New Roman"/>
                <w:kern w:val="0"/>
                <w:sz w:val="20"/>
                <w:szCs w:val="20"/>
              </w:rPr>
              <w:t>=0</w:t>
            </w:r>
            <w:r>
              <w:rPr>
                <w:rFonts w:hint="eastAsia" w:ascii="Times New Roman" w:hAnsi="Times New Roman"/>
                <w:kern w:val="0"/>
                <w:sz w:val="20"/>
                <w:szCs w:val="20"/>
              </w:rPr>
              <w:t>，计</w:t>
            </w:r>
            <w:r>
              <w:rPr>
                <w:rFonts w:ascii="Times New Roman" w:hAnsi="Times New Roman"/>
                <w:kern w:val="0"/>
                <w:sz w:val="20"/>
                <w:szCs w:val="20"/>
              </w:rPr>
              <w:t>5</w:t>
            </w:r>
            <w:r>
              <w:rPr>
                <w:rFonts w:hint="eastAsia" w:ascii="Times New Roman" w:hAnsi="Times New Roman"/>
                <w:kern w:val="0"/>
                <w:sz w:val="20"/>
                <w:szCs w:val="20"/>
              </w:rPr>
              <w:t>分；</w:t>
            </w:r>
            <w:r>
              <w:rPr>
                <w:rFonts w:ascii="Times New Roman" w:hAnsi="Times New Roman"/>
                <w:kern w:val="0"/>
                <w:sz w:val="20"/>
                <w:szCs w:val="20"/>
              </w:rPr>
              <w:t>0-10%</w:t>
            </w:r>
            <w:r>
              <w:rPr>
                <w:rFonts w:hint="eastAsia" w:ascii="Times New Roman" w:hAnsi="Times New Roman"/>
                <w:kern w:val="0"/>
                <w:sz w:val="20"/>
                <w:szCs w:val="20"/>
              </w:rPr>
              <w:t>（含），计</w:t>
            </w:r>
            <w:r>
              <w:rPr>
                <w:rFonts w:ascii="Times New Roman" w:hAnsi="Times New Roman"/>
                <w:kern w:val="0"/>
                <w:sz w:val="20"/>
                <w:szCs w:val="20"/>
              </w:rPr>
              <w:t>4</w:t>
            </w:r>
            <w:r>
              <w:rPr>
                <w:rFonts w:hint="eastAsia" w:ascii="Times New Roman" w:hAnsi="Times New Roman"/>
                <w:kern w:val="0"/>
                <w:sz w:val="20"/>
                <w:szCs w:val="20"/>
              </w:rPr>
              <w:t>分；</w:t>
            </w:r>
            <w:r>
              <w:rPr>
                <w:rFonts w:ascii="Times New Roman" w:hAnsi="Times New Roman"/>
                <w:kern w:val="0"/>
                <w:sz w:val="20"/>
                <w:szCs w:val="20"/>
              </w:rPr>
              <w:t>10-20%</w:t>
            </w:r>
            <w:r>
              <w:rPr>
                <w:rFonts w:hint="eastAsia" w:ascii="Times New Roman" w:hAnsi="Times New Roman"/>
                <w:kern w:val="0"/>
                <w:sz w:val="20"/>
                <w:szCs w:val="20"/>
              </w:rPr>
              <w:t>（含），计</w:t>
            </w:r>
            <w:r>
              <w:rPr>
                <w:rFonts w:ascii="Times New Roman" w:hAnsi="Times New Roman"/>
                <w:kern w:val="0"/>
                <w:sz w:val="20"/>
                <w:szCs w:val="20"/>
              </w:rPr>
              <w:t>3</w:t>
            </w:r>
            <w:r>
              <w:rPr>
                <w:rFonts w:hint="eastAsia" w:ascii="Times New Roman" w:hAnsi="Times New Roman"/>
                <w:kern w:val="0"/>
                <w:sz w:val="20"/>
                <w:szCs w:val="20"/>
              </w:rPr>
              <w:t>分；</w:t>
            </w:r>
            <w:r>
              <w:rPr>
                <w:rFonts w:ascii="Times New Roman" w:hAnsi="Times New Roman"/>
                <w:kern w:val="0"/>
                <w:sz w:val="20"/>
                <w:szCs w:val="20"/>
              </w:rPr>
              <w:t>20-30%</w:t>
            </w:r>
            <w:r>
              <w:rPr>
                <w:rFonts w:hint="eastAsia" w:ascii="Times New Roman" w:hAnsi="Times New Roman"/>
                <w:kern w:val="0"/>
                <w:sz w:val="20"/>
                <w:szCs w:val="20"/>
              </w:rPr>
              <w:t>（含），计</w:t>
            </w:r>
            <w:r>
              <w:rPr>
                <w:rFonts w:ascii="Times New Roman" w:hAnsi="Times New Roman"/>
                <w:kern w:val="0"/>
                <w:sz w:val="20"/>
                <w:szCs w:val="20"/>
              </w:rPr>
              <w:t>2</w:t>
            </w:r>
            <w:r>
              <w:rPr>
                <w:rFonts w:hint="eastAsia" w:ascii="Times New Roman" w:hAnsi="Times New Roman"/>
                <w:kern w:val="0"/>
                <w:sz w:val="20"/>
                <w:szCs w:val="20"/>
              </w:rPr>
              <w:t>分；大于</w:t>
            </w:r>
            <w:r>
              <w:rPr>
                <w:rFonts w:ascii="Times New Roman" w:hAnsi="Times New Roman"/>
                <w:kern w:val="0"/>
                <w:sz w:val="20"/>
                <w:szCs w:val="20"/>
              </w:rPr>
              <w:t>30%</w:t>
            </w:r>
            <w:r>
              <w:rPr>
                <w:rFonts w:hint="eastAsia" w:ascii="Times New Roman" w:hAnsi="Times New Roman"/>
                <w:kern w:val="0"/>
                <w:sz w:val="20"/>
                <w:szCs w:val="20"/>
              </w:rPr>
              <w:t>不得分</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预算控制率</w:t>
            </w:r>
            <w:r>
              <w:rPr>
                <w:rFonts w:ascii="Times New Roman" w:hAnsi="Times New Roman"/>
                <w:kern w:val="0"/>
                <w:sz w:val="20"/>
                <w:szCs w:val="20"/>
              </w:rPr>
              <w:t>=</w:t>
            </w:r>
            <w:r>
              <w:rPr>
                <w:rFonts w:hint="eastAsia" w:ascii="Times New Roman" w:hAnsi="Times New Roman"/>
                <w:kern w:val="0"/>
                <w:sz w:val="20"/>
                <w:szCs w:val="20"/>
              </w:rPr>
              <w:t>（本年追加预算</w:t>
            </w:r>
            <w:r>
              <w:rPr>
                <w:rFonts w:ascii="Times New Roman" w:hAnsi="Times New Roman"/>
                <w:kern w:val="0"/>
                <w:sz w:val="20"/>
                <w:szCs w:val="20"/>
              </w:rPr>
              <w:t>/</w:t>
            </w:r>
            <w:r>
              <w:rPr>
                <w:rFonts w:hint="eastAsia" w:ascii="Times New Roman" w:hAnsi="Times New Roman"/>
                <w:kern w:val="0"/>
                <w:sz w:val="20"/>
                <w:szCs w:val="20"/>
              </w:rPr>
              <w:t>年初预算）</w:t>
            </w:r>
            <w:r>
              <w:rPr>
                <w:rFonts w:ascii="Times New Roman" w:hAnsi="Times New Roman"/>
                <w:kern w:val="0"/>
                <w:sz w:val="20"/>
                <w:szCs w:val="20"/>
              </w:rPr>
              <w:t>×100%</w:t>
            </w:r>
            <w:r>
              <w:rPr>
                <w:rFonts w:hint="eastAsia" w:ascii="Times New Roman" w:hAnsi="Times New Roman"/>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5</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r>
              <w:rPr>
                <w:rFonts w:hint="eastAsia" w:ascii="Times New Roman" w:hAnsi="Times New Roman"/>
                <w:kern w:val="0"/>
                <w:sz w:val="20"/>
                <w:szCs w:val="20"/>
              </w:rPr>
              <w:t>预算控制率</w:t>
            </w:r>
            <w:r>
              <w:rPr>
                <w:rFonts w:ascii="Times New Roman" w:hAnsi="Times New Roman"/>
                <w:kern w:val="0"/>
                <w:sz w:val="20"/>
                <w:szCs w:val="20"/>
              </w:rPr>
              <w:t>=0</w:t>
            </w:r>
          </w:p>
        </w:tc>
      </w:tr>
      <w:tr>
        <w:tblPrEx>
          <w:tblLayout w:type="fixed"/>
          <w:tblCellMar>
            <w:top w:w="0" w:type="dxa"/>
            <w:left w:w="108" w:type="dxa"/>
            <w:bottom w:w="0" w:type="dxa"/>
            <w:right w:w="108" w:type="dxa"/>
          </w:tblCellMar>
        </w:tblPrEx>
        <w:trPr>
          <w:trHeight w:val="1160"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新建楼堂馆所面积控制率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以下（含）计满分，每超出</w:t>
            </w:r>
            <w:r>
              <w:rPr>
                <w:rFonts w:ascii="Times New Roman" w:hAnsi="Times New Roman"/>
                <w:kern w:val="0"/>
                <w:sz w:val="20"/>
                <w:szCs w:val="20"/>
              </w:rPr>
              <w:t>5%</w:t>
            </w:r>
            <w:r>
              <w:rPr>
                <w:rFonts w:hint="eastAsia" w:ascii="Times New Roman" w:hAnsi="Times New Roman"/>
                <w:kern w:val="0"/>
                <w:sz w:val="20"/>
                <w:szCs w:val="20"/>
              </w:rPr>
              <w:t>扣</w:t>
            </w:r>
            <w:r>
              <w:rPr>
                <w:rFonts w:ascii="Times New Roman" w:hAnsi="Times New Roman"/>
                <w:kern w:val="0"/>
                <w:sz w:val="20"/>
                <w:szCs w:val="20"/>
              </w:rPr>
              <w:t>2</w:t>
            </w:r>
            <w:r>
              <w:rPr>
                <w:rFonts w:hint="eastAsia" w:ascii="Times New Roman" w:hAnsi="Times New Roman"/>
                <w:kern w:val="0"/>
                <w:sz w:val="20"/>
                <w:szCs w:val="20"/>
              </w:rPr>
              <w:t>分，扣完为止。没有楼梯馆所项目的部门按满分计算</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楼堂馆所面积控制率</w:t>
            </w:r>
            <w:r>
              <w:rPr>
                <w:rFonts w:ascii="Times New Roman" w:hAnsi="Times New Roman"/>
                <w:kern w:val="0"/>
                <w:sz w:val="20"/>
                <w:szCs w:val="20"/>
              </w:rPr>
              <w:t>=</w:t>
            </w:r>
            <w:r>
              <w:rPr>
                <w:rFonts w:hint="eastAsia" w:ascii="Times New Roman" w:hAnsi="Times New Roman"/>
                <w:kern w:val="0"/>
                <w:sz w:val="20"/>
                <w:szCs w:val="20"/>
              </w:rPr>
              <w:t>实际建设面积</w:t>
            </w:r>
            <w:r>
              <w:rPr>
                <w:rFonts w:ascii="Times New Roman" w:hAnsi="Times New Roman"/>
                <w:kern w:val="0"/>
                <w:sz w:val="20"/>
                <w:szCs w:val="20"/>
              </w:rPr>
              <w:t>/</w:t>
            </w:r>
            <w:r>
              <w:rPr>
                <w:rFonts w:hint="eastAsia" w:ascii="Times New Roman" w:hAnsi="Times New Roman"/>
                <w:kern w:val="0"/>
                <w:sz w:val="20"/>
                <w:szCs w:val="20"/>
              </w:rPr>
              <w:t>批准建设面积</w:t>
            </w:r>
            <w:r>
              <w:rPr>
                <w:rFonts w:ascii="Times New Roman" w:hAnsi="Times New Roman"/>
                <w:kern w:val="0"/>
                <w:sz w:val="20"/>
                <w:szCs w:val="20"/>
              </w:rPr>
              <w:t xml:space="preserve">×100% </w:t>
            </w:r>
            <w:r>
              <w:rPr>
                <w:rFonts w:hint="eastAsia" w:ascii="Times New Roman" w:hAnsi="Times New Roman"/>
                <w:kern w:val="0"/>
                <w:sz w:val="20"/>
                <w:szCs w:val="20"/>
              </w:rPr>
              <w:t>。</w:t>
            </w:r>
          </w:p>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该指标以</w:t>
            </w:r>
            <w:r>
              <w:rPr>
                <w:rFonts w:ascii="Times New Roman" w:hAnsi="Times New Roman"/>
                <w:kern w:val="0"/>
                <w:sz w:val="20"/>
                <w:szCs w:val="20"/>
              </w:rPr>
              <w:t>2014</w:t>
            </w:r>
            <w:r>
              <w:rPr>
                <w:rFonts w:hint="eastAsia" w:ascii="Times New Roman" w:hAnsi="Times New Roman"/>
                <w:kern w:val="0"/>
                <w:sz w:val="20"/>
                <w:szCs w:val="20"/>
              </w:rPr>
              <w:t>年完工的新建楼堂馆所为评价内容。</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lang w:val="en-US" w:eastAsia="zh-CN"/>
              </w:rPr>
              <w:t>5</w:t>
            </w:r>
            <w:r>
              <w:rPr>
                <w:rFonts w:hint="eastAsia" w:ascii="Times New Roman" w:hAnsi="Times New Roman"/>
                <w:kern w:val="0"/>
                <w:sz w:val="24"/>
                <w:szCs w:val="24"/>
              </w:rPr>
              <w:t>　</w:t>
            </w:r>
          </w:p>
        </w:tc>
        <w:tc>
          <w:tcPr>
            <w:tcW w:w="637" w:type="dxa"/>
            <w:tcBorders>
              <w:top w:val="nil"/>
              <w:left w:val="nil"/>
              <w:bottom w:val="single" w:color="auto" w:sz="4" w:space="0"/>
              <w:right w:val="single" w:color="auto" w:sz="4" w:space="0"/>
            </w:tcBorders>
          </w:tcPr>
          <w:p>
            <w:pPr>
              <w:widowControl/>
              <w:spacing w:line="280" w:lineRule="exact"/>
              <w:jc w:val="left"/>
              <w:rPr>
                <w:rFonts w:hint="eastAsia" w:ascii="Times New Roman" w:hAnsi="Times New Roman" w:eastAsia="仿宋_GB2312"/>
                <w:kern w:val="0"/>
                <w:sz w:val="24"/>
                <w:szCs w:val="24"/>
                <w:lang w:eastAsia="zh-CN"/>
              </w:rPr>
            </w:pPr>
            <w:r>
              <w:rPr>
                <w:rFonts w:hint="eastAsia" w:ascii="Times New Roman" w:hAnsi="Times New Roman" w:cs="Times New Roman"/>
                <w:kern w:val="0"/>
                <w:sz w:val="20"/>
                <w:szCs w:val="20"/>
                <w:lang w:eastAsia="zh-CN"/>
              </w:rPr>
              <w:t>没有楼堂馆所项目</w:t>
            </w:r>
          </w:p>
        </w:tc>
      </w:tr>
      <w:tr>
        <w:tblPrEx>
          <w:tblLayout w:type="fixed"/>
          <w:tblCellMar>
            <w:top w:w="0" w:type="dxa"/>
            <w:left w:w="108" w:type="dxa"/>
            <w:bottom w:w="0" w:type="dxa"/>
            <w:right w:w="108" w:type="dxa"/>
          </w:tblCellMar>
        </w:tblPrEx>
        <w:trPr>
          <w:trHeight w:val="1115"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新建楼堂馆所投资概算控制率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5</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以下（含）计满分，每超出</w:t>
            </w:r>
            <w:r>
              <w:rPr>
                <w:rFonts w:ascii="Times New Roman" w:hAnsi="Times New Roman"/>
                <w:kern w:val="0"/>
                <w:sz w:val="20"/>
                <w:szCs w:val="20"/>
              </w:rPr>
              <w:t>5%</w:t>
            </w:r>
            <w:r>
              <w:rPr>
                <w:rFonts w:hint="eastAsia" w:ascii="Times New Roman" w:hAnsi="Times New Roman"/>
                <w:kern w:val="0"/>
                <w:sz w:val="20"/>
                <w:szCs w:val="20"/>
              </w:rPr>
              <w:t>扣</w:t>
            </w:r>
            <w:r>
              <w:rPr>
                <w:rFonts w:ascii="Times New Roman" w:hAnsi="Times New Roman"/>
                <w:kern w:val="0"/>
                <w:sz w:val="20"/>
                <w:szCs w:val="20"/>
              </w:rPr>
              <w:t>2</w:t>
            </w:r>
            <w:r>
              <w:rPr>
                <w:rFonts w:hint="eastAsia" w:ascii="Times New Roman" w:hAnsi="Times New Roman"/>
                <w:kern w:val="0"/>
                <w:sz w:val="20"/>
                <w:szCs w:val="20"/>
              </w:rPr>
              <w:t>分，扣完为止。</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楼堂馆所投资预算控制率</w:t>
            </w:r>
            <w:r>
              <w:rPr>
                <w:rFonts w:ascii="Times New Roman" w:hAnsi="Times New Roman"/>
                <w:kern w:val="0"/>
                <w:sz w:val="20"/>
                <w:szCs w:val="20"/>
              </w:rPr>
              <w:t>=</w:t>
            </w:r>
            <w:r>
              <w:rPr>
                <w:rFonts w:hint="eastAsia" w:ascii="Times New Roman" w:hAnsi="Times New Roman"/>
                <w:kern w:val="0"/>
                <w:sz w:val="20"/>
                <w:szCs w:val="20"/>
              </w:rPr>
              <w:t>实际投资金额</w:t>
            </w:r>
            <w:r>
              <w:rPr>
                <w:rFonts w:ascii="Times New Roman" w:hAnsi="Times New Roman"/>
                <w:kern w:val="0"/>
                <w:sz w:val="20"/>
                <w:szCs w:val="20"/>
              </w:rPr>
              <w:t>/</w:t>
            </w:r>
            <w:r>
              <w:rPr>
                <w:rFonts w:hint="eastAsia" w:ascii="Times New Roman" w:hAnsi="Times New Roman"/>
                <w:kern w:val="0"/>
                <w:sz w:val="20"/>
                <w:szCs w:val="20"/>
              </w:rPr>
              <w:t>批准投资金额</w:t>
            </w:r>
            <w:r>
              <w:rPr>
                <w:rFonts w:ascii="Times New Roman" w:hAnsi="Times New Roman"/>
                <w:kern w:val="0"/>
                <w:sz w:val="20"/>
                <w:szCs w:val="20"/>
              </w:rPr>
              <w:t xml:space="preserve">×100% </w:t>
            </w:r>
            <w:r>
              <w:rPr>
                <w:rFonts w:hint="eastAsia" w:ascii="Times New Roman" w:hAnsi="Times New Roman"/>
                <w:kern w:val="0"/>
                <w:sz w:val="20"/>
                <w:szCs w:val="20"/>
              </w:rPr>
              <w:t>。</w:t>
            </w:r>
          </w:p>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该指标以</w:t>
            </w:r>
            <w:r>
              <w:rPr>
                <w:rFonts w:ascii="Times New Roman" w:hAnsi="Times New Roman"/>
                <w:kern w:val="0"/>
                <w:sz w:val="20"/>
                <w:szCs w:val="20"/>
              </w:rPr>
              <w:t>2014</w:t>
            </w:r>
            <w:r>
              <w:rPr>
                <w:rFonts w:hint="eastAsia" w:ascii="Times New Roman" w:hAnsi="Times New Roman"/>
                <w:kern w:val="0"/>
                <w:sz w:val="20"/>
                <w:szCs w:val="20"/>
              </w:rPr>
              <w:t>年完工的新建楼堂馆所为评价内容。</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5</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r>
              <w:rPr>
                <w:rFonts w:hint="eastAsia" w:ascii="Times New Roman" w:hAnsi="Times New Roman" w:cs="Times New Roman"/>
                <w:kern w:val="0"/>
                <w:sz w:val="20"/>
                <w:szCs w:val="20"/>
                <w:lang w:eastAsia="zh-CN"/>
              </w:rPr>
              <w:t>没有楼堂馆所项目</w:t>
            </w:r>
          </w:p>
        </w:tc>
      </w:tr>
      <w:tr>
        <w:tblPrEx>
          <w:tblLayout w:type="fixed"/>
          <w:tblCellMar>
            <w:top w:w="0" w:type="dxa"/>
            <w:left w:w="108" w:type="dxa"/>
            <w:bottom w:w="0" w:type="dxa"/>
            <w:right w:w="108" w:type="dxa"/>
          </w:tblCellMar>
        </w:tblPrEx>
        <w:trPr>
          <w:trHeight w:val="1448"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restart"/>
            <w:tcBorders>
              <w:top w:val="nil"/>
              <w:left w:val="single" w:color="auto" w:sz="4" w:space="0"/>
              <w:bottom w:val="single" w:color="000000"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预算管理</w:t>
            </w:r>
          </w:p>
        </w:tc>
        <w:tc>
          <w:tcPr>
            <w:tcW w:w="416" w:type="dxa"/>
            <w:vMerge w:val="restart"/>
            <w:tcBorders>
              <w:top w:val="nil"/>
              <w:left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41</w:t>
            </w: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公用经费控制率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8</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以下（含）计满分，每超出</w:t>
            </w:r>
            <w:r>
              <w:rPr>
                <w:rFonts w:ascii="Times New Roman" w:hAnsi="Times New Roman"/>
                <w:kern w:val="0"/>
                <w:sz w:val="20"/>
                <w:szCs w:val="20"/>
              </w:rPr>
              <w:t>1%</w:t>
            </w:r>
            <w:r>
              <w:rPr>
                <w:rFonts w:hint="eastAsia" w:ascii="Times New Roman" w:hAnsi="Times New Roman"/>
                <w:kern w:val="0"/>
                <w:sz w:val="20"/>
                <w:szCs w:val="20"/>
              </w:rPr>
              <w:t>扣</w:t>
            </w:r>
            <w:r>
              <w:rPr>
                <w:rFonts w:ascii="Times New Roman" w:hAnsi="Times New Roman"/>
                <w:kern w:val="0"/>
                <w:sz w:val="20"/>
                <w:szCs w:val="20"/>
              </w:rPr>
              <w:t>1</w:t>
            </w:r>
            <w:r>
              <w:rPr>
                <w:rFonts w:hint="eastAsia" w:ascii="Times New Roman" w:hAnsi="Times New Roman"/>
                <w:kern w:val="0"/>
                <w:sz w:val="20"/>
                <w:szCs w:val="20"/>
              </w:rPr>
              <w:t>分，扣完为止。</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公用经费控制率</w:t>
            </w:r>
            <w:r>
              <w:rPr>
                <w:rFonts w:ascii="Times New Roman" w:hAnsi="Times New Roman"/>
                <w:kern w:val="0"/>
                <w:sz w:val="20"/>
                <w:szCs w:val="20"/>
              </w:rPr>
              <w:t>=</w:t>
            </w:r>
            <w:r>
              <w:rPr>
                <w:rFonts w:hint="eastAsia" w:ascii="Times New Roman" w:hAnsi="Times New Roman"/>
                <w:kern w:val="0"/>
                <w:sz w:val="20"/>
                <w:szCs w:val="20"/>
              </w:rPr>
              <w:t>（实际支出公用经费总额</w:t>
            </w:r>
            <w:r>
              <w:rPr>
                <w:rFonts w:ascii="Times New Roman" w:hAnsi="Times New Roman"/>
                <w:kern w:val="0"/>
                <w:sz w:val="20"/>
                <w:szCs w:val="20"/>
              </w:rPr>
              <w:t>/</w:t>
            </w:r>
            <w:r>
              <w:rPr>
                <w:rFonts w:hint="eastAsia" w:ascii="Times New Roman" w:hAnsi="Times New Roman"/>
                <w:kern w:val="0"/>
                <w:sz w:val="20"/>
                <w:szCs w:val="20"/>
              </w:rPr>
              <w:t>预算安排公用经费总额）</w:t>
            </w:r>
            <w:r>
              <w:rPr>
                <w:rFonts w:ascii="Times New Roman" w:hAnsi="Times New Roman"/>
                <w:kern w:val="0"/>
                <w:sz w:val="20"/>
                <w:szCs w:val="20"/>
              </w:rPr>
              <w:t>×100%</w:t>
            </w:r>
            <w:r>
              <w:rPr>
                <w:rFonts w:hint="eastAsia" w:ascii="Times New Roman" w:hAnsi="Times New Roman"/>
                <w:kern w:val="0"/>
                <w:sz w:val="20"/>
                <w:szCs w:val="20"/>
              </w:rPr>
              <w:t>。</w:t>
            </w:r>
          </w:p>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公用经费支出是指部门基本支出中的一般商品和服务支出。</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8</w:t>
            </w:r>
          </w:p>
        </w:tc>
        <w:tc>
          <w:tcPr>
            <w:tcW w:w="637" w:type="dxa"/>
            <w:tcBorders>
              <w:top w:val="nil"/>
              <w:left w:val="nil"/>
              <w:bottom w:val="single" w:color="auto" w:sz="4" w:space="0"/>
              <w:right w:val="single" w:color="auto" w:sz="4" w:space="0"/>
            </w:tcBorders>
          </w:tcPr>
          <w:p>
            <w:pPr>
              <w:widowControl/>
              <w:spacing w:line="280" w:lineRule="exact"/>
              <w:jc w:val="left"/>
              <w:rPr>
                <w:rFonts w:hint="default" w:ascii="Times New Roman" w:hAnsi="Times New Roman" w:eastAsia="仿宋_GB2312"/>
                <w:kern w:val="0"/>
                <w:sz w:val="24"/>
                <w:szCs w:val="24"/>
                <w:lang w:val="en-US" w:eastAsia="zh-CN"/>
              </w:rPr>
            </w:pPr>
            <w:r>
              <w:rPr>
                <w:rFonts w:hint="eastAsia" w:ascii="Times New Roman" w:hAnsi="Times New Roman"/>
                <w:kern w:val="0"/>
                <w:sz w:val="20"/>
                <w:szCs w:val="20"/>
              </w:rPr>
              <w:t>公用经费控制率</w:t>
            </w:r>
            <w:r>
              <w:rPr>
                <w:rFonts w:ascii="Times New Roman" w:hAnsi="Times New Roman"/>
                <w:kern w:val="0"/>
                <w:sz w:val="20"/>
                <w:szCs w:val="20"/>
              </w:rPr>
              <w:t>=</w:t>
            </w:r>
            <w:r>
              <w:rPr>
                <w:rFonts w:hint="eastAsia" w:ascii="Times New Roman" w:hAnsi="Times New Roman"/>
                <w:kern w:val="0"/>
                <w:sz w:val="20"/>
                <w:szCs w:val="20"/>
                <w:lang w:val="en-US" w:eastAsia="zh-CN"/>
              </w:rPr>
              <w:t>79.5%</w:t>
            </w:r>
          </w:p>
        </w:tc>
      </w:tr>
      <w:tr>
        <w:tblPrEx>
          <w:tblLayout w:type="fixed"/>
          <w:tblCellMar>
            <w:top w:w="0" w:type="dxa"/>
            <w:left w:w="108" w:type="dxa"/>
            <w:bottom w:w="0" w:type="dxa"/>
            <w:right w:w="108" w:type="dxa"/>
          </w:tblCellMar>
        </w:tblPrEx>
        <w:trPr>
          <w:trHeight w:val="740"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left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三公经费控制率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8</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以下（含）计满分，每超出</w:t>
            </w:r>
            <w:r>
              <w:rPr>
                <w:rFonts w:ascii="Times New Roman" w:hAnsi="Times New Roman"/>
                <w:kern w:val="0"/>
                <w:sz w:val="20"/>
                <w:szCs w:val="20"/>
              </w:rPr>
              <w:t>1%</w:t>
            </w:r>
            <w:r>
              <w:rPr>
                <w:rFonts w:hint="eastAsia" w:ascii="Times New Roman" w:hAnsi="Times New Roman"/>
                <w:kern w:val="0"/>
                <w:sz w:val="20"/>
                <w:szCs w:val="20"/>
              </w:rPr>
              <w:t>扣</w:t>
            </w:r>
            <w:r>
              <w:rPr>
                <w:rFonts w:ascii="Times New Roman" w:hAnsi="Times New Roman"/>
                <w:kern w:val="0"/>
                <w:sz w:val="20"/>
                <w:szCs w:val="20"/>
              </w:rPr>
              <w:t>1</w:t>
            </w:r>
            <w:r>
              <w:rPr>
                <w:rFonts w:hint="eastAsia" w:ascii="Times New Roman" w:hAnsi="Times New Roman"/>
                <w:kern w:val="0"/>
                <w:sz w:val="20"/>
                <w:szCs w:val="20"/>
              </w:rPr>
              <w:t>分，扣完为止。</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控制率</w:t>
            </w:r>
            <w:r>
              <w:rPr>
                <w:rFonts w:ascii="Times New Roman" w:hAnsi="Times New Roman"/>
                <w:kern w:val="0"/>
                <w:sz w:val="20"/>
                <w:szCs w:val="20"/>
              </w:rPr>
              <w:t>-</w:t>
            </w:r>
            <w:r>
              <w:rPr>
                <w:rFonts w:hint="eastAsia" w:ascii="Times New Roman" w:hAnsi="Times New Roman"/>
                <w:kern w:val="0"/>
                <w:sz w:val="20"/>
                <w:szCs w:val="20"/>
              </w:rPr>
              <w:t>（</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实际支出数</w:t>
            </w: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预算安排数）</w:t>
            </w:r>
            <w:r>
              <w:rPr>
                <w:rFonts w:ascii="Times New Roman" w:hAnsi="Times New Roman"/>
                <w:kern w:val="0"/>
                <w:sz w:val="20"/>
                <w:szCs w:val="20"/>
              </w:rPr>
              <w:t>×100%</w:t>
            </w:r>
            <w:r>
              <w:rPr>
                <w:rFonts w:hint="eastAsia" w:ascii="Times New Roman" w:hAnsi="Times New Roman"/>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8</w:t>
            </w:r>
          </w:p>
        </w:tc>
        <w:tc>
          <w:tcPr>
            <w:tcW w:w="637" w:type="dxa"/>
            <w:tcBorders>
              <w:top w:val="nil"/>
              <w:left w:val="nil"/>
              <w:bottom w:val="single" w:color="auto" w:sz="4" w:space="0"/>
              <w:right w:val="single" w:color="auto" w:sz="4" w:space="0"/>
            </w:tcBorders>
          </w:tcPr>
          <w:p>
            <w:pPr>
              <w:widowControl/>
              <w:spacing w:line="280" w:lineRule="exact"/>
              <w:jc w:val="left"/>
              <w:rPr>
                <w:rFonts w:hint="default" w:ascii="Times New Roman" w:hAnsi="Times New Roman" w:eastAsia="仿宋_GB2312"/>
                <w:kern w:val="0"/>
                <w:sz w:val="24"/>
                <w:szCs w:val="24"/>
                <w:lang w:val="en-US" w:eastAsia="zh-CN"/>
              </w:rPr>
            </w:pPr>
            <w:r>
              <w:rPr>
                <w:rFonts w:ascii="Times New Roman" w:hAnsi="Times New Roman"/>
                <w:kern w:val="0"/>
                <w:sz w:val="20"/>
                <w:szCs w:val="20"/>
              </w:rPr>
              <w:t>“</w:t>
            </w:r>
            <w:r>
              <w:rPr>
                <w:rFonts w:hint="eastAsia" w:ascii="Times New Roman" w:hAnsi="Times New Roman"/>
                <w:kern w:val="0"/>
                <w:sz w:val="20"/>
                <w:szCs w:val="20"/>
              </w:rPr>
              <w:t>三公经费</w:t>
            </w:r>
            <w:r>
              <w:rPr>
                <w:rFonts w:ascii="Times New Roman" w:hAnsi="Times New Roman"/>
                <w:kern w:val="0"/>
                <w:sz w:val="20"/>
                <w:szCs w:val="20"/>
              </w:rPr>
              <w:t>”</w:t>
            </w:r>
            <w:r>
              <w:rPr>
                <w:rFonts w:hint="eastAsia" w:ascii="Times New Roman" w:hAnsi="Times New Roman"/>
                <w:kern w:val="0"/>
                <w:sz w:val="20"/>
                <w:szCs w:val="20"/>
              </w:rPr>
              <w:t>控制率</w:t>
            </w:r>
            <w:r>
              <w:rPr>
                <w:rFonts w:hint="eastAsia" w:ascii="Times New Roman" w:hAnsi="Times New Roman"/>
                <w:kern w:val="0"/>
                <w:sz w:val="20"/>
                <w:szCs w:val="20"/>
                <w:lang w:val="en-US" w:eastAsia="zh-CN"/>
              </w:rPr>
              <w:t>=91%</w:t>
            </w:r>
          </w:p>
        </w:tc>
      </w:tr>
      <w:tr>
        <w:tblPrEx>
          <w:tblLayout w:type="fixed"/>
          <w:tblCellMar>
            <w:top w:w="0" w:type="dxa"/>
            <w:left w:w="108" w:type="dxa"/>
            <w:bottom w:w="0" w:type="dxa"/>
            <w:right w:w="108" w:type="dxa"/>
          </w:tblCellMar>
        </w:tblPrEx>
        <w:trPr>
          <w:trHeight w:val="1020" w:hRule="atLeast"/>
          <w:jc w:val="center"/>
        </w:trPr>
        <w:tc>
          <w:tcPr>
            <w:tcW w:w="648"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416" w:type="dxa"/>
            <w:vMerge w:val="continue"/>
            <w:tcBorders>
              <w:left w:val="single" w:color="auto" w:sz="4" w:space="0"/>
              <w:bottom w:val="single" w:color="auto" w:sz="4" w:space="0"/>
              <w:right w:val="single" w:color="auto" w:sz="4" w:space="0"/>
            </w:tcBorders>
            <w:vAlign w:val="center"/>
          </w:tcPr>
          <w:p>
            <w:pPr>
              <w:widowControl/>
              <w:spacing w:line="32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hint="eastAsia" w:ascii="Times New Roman" w:hAnsi="Times New Roman"/>
                <w:kern w:val="0"/>
                <w:sz w:val="20"/>
                <w:szCs w:val="20"/>
              </w:rPr>
              <w:t>政府采购执行率</w:t>
            </w:r>
          </w:p>
        </w:tc>
        <w:tc>
          <w:tcPr>
            <w:tcW w:w="416" w:type="dxa"/>
            <w:tcBorders>
              <w:top w:val="nil"/>
              <w:left w:val="nil"/>
              <w:bottom w:val="single" w:color="auto" w:sz="4" w:space="0"/>
              <w:right w:val="single" w:color="auto" w:sz="4" w:space="0"/>
            </w:tcBorders>
            <w:vAlign w:val="center"/>
          </w:tcPr>
          <w:p>
            <w:pPr>
              <w:widowControl/>
              <w:spacing w:line="320" w:lineRule="exact"/>
              <w:jc w:val="center"/>
              <w:rPr>
                <w:rFonts w:ascii="Times New Roman" w:hAnsi="Times New Roman"/>
                <w:kern w:val="0"/>
                <w:sz w:val="20"/>
                <w:szCs w:val="20"/>
              </w:rPr>
            </w:pPr>
            <w:r>
              <w:rPr>
                <w:rFonts w:ascii="Times New Roman" w:hAnsi="Times New Roman"/>
                <w:kern w:val="0"/>
                <w:sz w:val="20"/>
                <w:szCs w:val="20"/>
              </w:rPr>
              <w:t>6</w:t>
            </w:r>
          </w:p>
        </w:tc>
        <w:tc>
          <w:tcPr>
            <w:tcW w:w="2324"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ascii="Times New Roman" w:hAnsi="Times New Roman"/>
                <w:kern w:val="0"/>
                <w:sz w:val="20"/>
                <w:szCs w:val="20"/>
              </w:rPr>
              <w:t>100%</w:t>
            </w:r>
            <w:r>
              <w:rPr>
                <w:rFonts w:hint="eastAsia" w:ascii="Times New Roman" w:hAnsi="Times New Roman"/>
                <w:kern w:val="0"/>
                <w:sz w:val="20"/>
                <w:szCs w:val="20"/>
              </w:rPr>
              <w:t>计满分，每超过（降低）</w:t>
            </w:r>
            <w:r>
              <w:rPr>
                <w:rFonts w:ascii="Times New Roman" w:hAnsi="Times New Roman"/>
                <w:kern w:val="0"/>
                <w:sz w:val="20"/>
                <w:szCs w:val="20"/>
              </w:rPr>
              <w:t>5%</w:t>
            </w:r>
            <w:r>
              <w:rPr>
                <w:rFonts w:hint="eastAsia" w:ascii="Times New Roman" w:hAnsi="Times New Roman"/>
                <w:kern w:val="0"/>
                <w:sz w:val="20"/>
                <w:szCs w:val="20"/>
              </w:rPr>
              <w:t>扣</w:t>
            </w:r>
            <w:r>
              <w:rPr>
                <w:rFonts w:ascii="Times New Roman" w:hAnsi="Times New Roman"/>
                <w:kern w:val="0"/>
                <w:sz w:val="20"/>
                <w:szCs w:val="20"/>
              </w:rPr>
              <w:t>2</w:t>
            </w:r>
            <w:r>
              <w:rPr>
                <w:rFonts w:hint="eastAsia" w:ascii="Times New Roman" w:hAnsi="Times New Roman"/>
                <w:kern w:val="0"/>
                <w:sz w:val="20"/>
                <w:szCs w:val="20"/>
              </w:rPr>
              <w:t>分。扣完为止。</w:t>
            </w:r>
          </w:p>
        </w:tc>
        <w:tc>
          <w:tcPr>
            <w:tcW w:w="3153" w:type="dxa"/>
            <w:tcBorders>
              <w:top w:val="nil"/>
              <w:left w:val="nil"/>
              <w:bottom w:val="single" w:color="auto" w:sz="4" w:space="0"/>
              <w:right w:val="single" w:color="auto" w:sz="4" w:space="0"/>
            </w:tcBorders>
            <w:vAlign w:val="center"/>
          </w:tcPr>
          <w:p>
            <w:pPr>
              <w:widowControl/>
              <w:spacing w:line="300" w:lineRule="exact"/>
              <w:jc w:val="left"/>
              <w:rPr>
                <w:rFonts w:ascii="Times New Roman" w:hAnsi="Times New Roman"/>
                <w:kern w:val="0"/>
                <w:sz w:val="20"/>
                <w:szCs w:val="20"/>
              </w:rPr>
            </w:pPr>
            <w:r>
              <w:rPr>
                <w:rFonts w:hint="eastAsia" w:ascii="Times New Roman" w:hAnsi="Times New Roman"/>
                <w:kern w:val="0"/>
                <w:sz w:val="20"/>
                <w:szCs w:val="20"/>
              </w:rPr>
              <w:t>政府采购执行率</w:t>
            </w:r>
            <w:r>
              <w:rPr>
                <w:rFonts w:ascii="Times New Roman" w:hAnsi="Times New Roman"/>
                <w:kern w:val="0"/>
                <w:sz w:val="20"/>
                <w:szCs w:val="20"/>
              </w:rPr>
              <w:t>=</w:t>
            </w:r>
            <w:r>
              <w:rPr>
                <w:rFonts w:hint="eastAsia" w:ascii="Times New Roman" w:hAnsi="Times New Roman"/>
                <w:kern w:val="0"/>
                <w:sz w:val="20"/>
                <w:szCs w:val="20"/>
              </w:rPr>
              <w:t>（实际政府采购金额</w:t>
            </w:r>
            <w:r>
              <w:rPr>
                <w:rFonts w:ascii="Times New Roman" w:hAnsi="Times New Roman"/>
                <w:kern w:val="0"/>
                <w:sz w:val="20"/>
                <w:szCs w:val="20"/>
              </w:rPr>
              <w:t>/</w:t>
            </w:r>
            <w:r>
              <w:rPr>
                <w:rFonts w:hint="eastAsia" w:ascii="Times New Roman" w:hAnsi="Times New Roman"/>
                <w:kern w:val="0"/>
                <w:sz w:val="20"/>
                <w:szCs w:val="20"/>
              </w:rPr>
              <w:t>政府采购预算数）</w:t>
            </w:r>
            <w:r>
              <w:rPr>
                <w:rFonts w:ascii="Times New Roman" w:hAnsi="Times New Roman"/>
                <w:kern w:val="0"/>
                <w:sz w:val="20"/>
                <w:szCs w:val="20"/>
              </w:rPr>
              <w:t xml:space="preserve">×100%                </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lang w:val="en-US" w:eastAsia="zh-CN"/>
              </w:rPr>
              <w:t>6</w:t>
            </w:r>
            <w:r>
              <w:rPr>
                <w:rFonts w:hint="eastAsia" w:ascii="Times New Roman" w:hAnsi="Times New Roman"/>
                <w:kern w:val="0"/>
                <w:sz w:val="24"/>
                <w:szCs w:val="24"/>
              </w:rPr>
              <w:t>　</w:t>
            </w:r>
          </w:p>
        </w:tc>
        <w:tc>
          <w:tcPr>
            <w:tcW w:w="637" w:type="dxa"/>
            <w:tcBorders>
              <w:top w:val="nil"/>
              <w:left w:val="nil"/>
              <w:bottom w:val="single" w:color="auto" w:sz="4" w:space="0"/>
              <w:right w:val="single" w:color="auto" w:sz="4" w:space="0"/>
            </w:tcBorders>
          </w:tcPr>
          <w:p>
            <w:pPr>
              <w:widowControl/>
              <w:spacing w:line="280" w:lineRule="exact"/>
              <w:jc w:val="left"/>
              <w:rPr>
                <w:rFonts w:hint="default" w:ascii="Times New Roman" w:hAnsi="Times New Roman" w:eastAsia="仿宋_GB2312"/>
                <w:kern w:val="0"/>
                <w:sz w:val="24"/>
                <w:szCs w:val="24"/>
                <w:lang w:val="en-US" w:eastAsia="zh-CN"/>
              </w:rPr>
            </w:pPr>
            <w:bookmarkStart w:id="0" w:name="_GoBack"/>
            <w:bookmarkEnd w:id="0"/>
          </w:p>
        </w:tc>
      </w:tr>
      <w:tr>
        <w:tblPrEx>
          <w:tblLayout w:type="fixed"/>
          <w:tblCellMar>
            <w:top w:w="0" w:type="dxa"/>
            <w:left w:w="108" w:type="dxa"/>
            <w:bottom w:w="0" w:type="dxa"/>
            <w:right w:w="108" w:type="dxa"/>
          </w:tblCellMar>
        </w:tblPrEx>
        <w:trPr>
          <w:jc w:val="center"/>
        </w:trPr>
        <w:tc>
          <w:tcPr>
            <w:tcW w:w="648"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过程</w:t>
            </w:r>
          </w:p>
        </w:tc>
        <w:tc>
          <w:tcPr>
            <w:tcW w:w="41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ascii="Times New Roman" w:hAnsi="Times New Roman"/>
                <w:kern w:val="0"/>
                <w:sz w:val="20"/>
                <w:szCs w:val="20"/>
              </w:rPr>
            </w:pPr>
            <w:r>
              <w:rPr>
                <w:rFonts w:ascii="Times New Roman" w:hAnsi="Times New Roman"/>
                <w:kern w:val="0"/>
                <w:sz w:val="20"/>
                <w:szCs w:val="20"/>
              </w:rPr>
              <w:t>61</w:t>
            </w:r>
          </w:p>
        </w:tc>
        <w:tc>
          <w:tcPr>
            <w:tcW w:w="673" w:type="dxa"/>
            <w:vMerge w:val="restart"/>
            <w:tcBorders>
              <w:top w:val="single" w:color="auto" w:sz="4" w:space="0"/>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预算管理</w:t>
            </w:r>
          </w:p>
        </w:tc>
        <w:tc>
          <w:tcPr>
            <w:tcW w:w="4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ascii="Times New Roman" w:hAnsi="Times New Roman"/>
                <w:kern w:val="0"/>
                <w:sz w:val="20"/>
                <w:szCs w:val="20"/>
              </w:rPr>
              <w:t>41</w:t>
            </w: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管理制度健全性</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8</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eastAsia="宋体"/>
                <w:kern w:val="0"/>
                <w:sz w:val="20"/>
                <w:szCs w:val="20"/>
              </w:rPr>
              <w:t>①</w:t>
            </w:r>
            <w:r>
              <w:rPr>
                <w:rFonts w:hint="eastAsia" w:ascii="Times New Roman" w:hAnsi="Times New Roman"/>
                <w:kern w:val="0"/>
                <w:sz w:val="20"/>
                <w:szCs w:val="20"/>
              </w:rPr>
              <w:t>有内部财务管理制度、会计核算制度等管理制度，</w:t>
            </w:r>
            <w:r>
              <w:rPr>
                <w:rFonts w:ascii="Times New Roman" w:hAnsi="Times New Roman"/>
                <w:kern w:val="0"/>
                <w:sz w:val="20"/>
                <w:szCs w:val="20"/>
              </w:rPr>
              <w:t>2</w:t>
            </w:r>
            <w:r>
              <w:rPr>
                <w:rFonts w:hint="eastAsia" w:ascii="Times New Roman" w:hAnsi="Times New Roman"/>
                <w:kern w:val="0"/>
                <w:sz w:val="20"/>
                <w:szCs w:val="20"/>
              </w:rPr>
              <w:t>分；</w:t>
            </w:r>
          </w:p>
          <w:p>
            <w:pPr>
              <w:widowControl/>
              <w:spacing w:line="240" w:lineRule="exact"/>
              <w:jc w:val="left"/>
              <w:rPr>
                <w:rFonts w:ascii="Times New Roman" w:hAnsi="Times New Roman"/>
                <w:kern w:val="0"/>
                <w:sz w:val="20"/>
                <w:szCs w:val="20"/>
              </w:rPr>
            </w:pPr>
            <w:r>
              <w:rPr>
                <w:rFonts w:hint="eastAsia" w:ascii="Times New Roman" w:hAnsi="Times New Roman" w:eastAsia="宋体"/>
                <w:kern w:val="0"/>
                <w:sz w:val="20"/>
                <w:szCs w:val="20"/>
              </w:rPr>
              <w:t>②</w:t>
            </w:r>
            <w:r>
              <w:rPr>
                <w:rFonts w:hint="eastAsia" w:ascii="Times New Roman" w:hAnsi="Times New Roman"/>
                <w:kern w:val="0"/>
                <w:sz w:val="20"/>
                <w:szCs w:val="20"/>
              </w:rPr>
              <w:t>有本部门厉行节约制度，</w:t>
            </w:r>
            <w:r>
              <w:rPr>
                <w:rFonts w:ascii="Times New Roman" w:hAnsi="Times New Roman"/>
                <w:kern w:val="0"/>
                <w:sz w:val="20"/>
                <w:szCs w:val="20"/>
              </w:rPr>
              <w:t>2</w:t>
            </w:r>
            <w:r>
              <w:rPr>
                <w:rFonts w:hint="eastAsia" w:ascii="Times New Roman" w:hAnsi="Times New Roman"/>
                <w:kern w:val="0"/>
                <w:sz w:val="20"/>
                <w:szCs w:val="20"/>
              </w:rPr>
              <w:t>分；</w:t>
            </w:r>
          </w:p>
          <w:p>
            <w:pPr>
              <w:widowControl/>
              <w:spacing w:line="240" w:lineRule="exact"/>
              <w:jc w:val="left"/>
              <w:rPr>
                <w:rFonts w:ascii="Times New Roman" w:hAnsi="Times New Roman"/>
                <w:kern w:val="0"/>
                <w:sz w:val="20"/>
                <w:szCs w:val="20"/>
              </w:rPr>
            </w:pPr>
            <w:r>
              <w:rPr>
                <w:rFonts w:hint="eastAsia" w:ascii="Times New Roman" w:hAnsi="Times New Roman" w:eastAsia="宋体"/>
                <w:kern w:val="0"/>
                <w:sz w:val="20"/>
                <w:szCs w:val="20"/>
              </w:rPr>
              <w:t>③</w:t>
            </w:r>
            <w:r>
              <w:rPr>
                <w:rFonts w:hint="eastAsia" w:ascii="Times New Roman" w:hAnsi="Times New Roman"/>
                <w:kern w:val="0"/>
                <w:sz w:val="20"/>
                <w:szCs w:val="20"/>
              </w:rPr>
              <w:t>相关管理制度合法、合规、完整，</w:t>
            </w:r>
            <w:r>
              <w:rPr>
                <w:rFonts w:ascii="Times New Roman" w:hAnsi="Times New Roman"/>
                <w:kern w:val="0"/>
                <w:sz w:val="20"/>
                <w:szCs w:val="20"/>
              </w:rPr>
              <w:t>2</w:t>
            </w:r>
            <w:r>
              <w:rPr>
                <w:rFonts w:hint="eastAsia" w:ascii="Times New Roman" w:hAnsi="Times New Roman"/>
                <w:kern w:val="0"/>
                <w:sz w:val="20"/>
                <w:szCs w:val="20"/>
              </w:rPr>
              <w:t>分；</w:t>
            </w:r>
            <w:r>
              <w:rPr>
                <w:rFonts w:hint="eastAsia" w:ascii="Times New Roman" w:hAnsi="Times New Roman" w:eastAsia="宋体"/>
                <w:kern w:val="0"/>
                <w:sz w:val="20"/>
                <w:szCs w:val="20"/>
              </w:rPr>
              <w:t>④</w:t>
            </w:r>
            <w:r>
              <w:rPr>
                <w:rFonts w:hint="eastAsia" w:ascii="Times New Roman" w:hAnsi="Times New Roman"/>
                <w:kern w:val="0"/>
                <w:sz w:val="20"/>
                <w:szCs w:val="20"/>
              </w:rPr>
              <w:t>相关管理制度得到有效执行，</w:t>
            </w:r>
            <w:r>
              <w:rPr>
                <w:rFonts w:ascii="Times New Roman" w:hAnsi="Times New Roman"/>
                <w:kern w:val="0"/>
                <w:sz w:val="20"/>
                <w:szCs w:val="20"/>
              </w:rPr>
              <w:t>2</w:t>
            </w:r>
            <w:r>
              <w:rPr>
                <w:rFonts w:hint="eastAsia" w:ascii="Times New Roman" w:hAnsi="Times New Roman"/>
                <w:kern w:val="0"/>
                <w:sz w:val="20"/>
                <w:szCs w:val="20"/>
              </w:rPr>
              <w:t>分。</w:t>
            </w:r>
          </w:p>
        </w:tc>
        <w:tc>
          <w:tcPr>
            <w:tcW w:w="315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4"/>
                <w:szCs w:val="24"/>
              </w:rPr>
            </w:pPr>
            <w:r>
              <w:rPr>
                <w:rFonts w:hint="eastAsia" w:ascii="Times New Roman" w:hAnsi="Times New Roman"/>
                <w:kern w:val="0"/>
                <w:sz w:val="24"/>
                <w:szCs w:val="24"/>
                <w:lang w:val="en-US" w:eastAsia="zh-CN"/>
              </w:rPr>
              <w:t>8</w:t>
            </w:r>
            <w:r>
              <w:rPr>
                <w:rFonts w:hint="eastAsia" w:ascii="Times New Roman" w:hAnsi="Times New Roman"/>
                <w:kern w:val="0"/>
                <w:sz w:val="24"/>
                <w:szCs w:val="24"/>
              </w:rPr>
              <w:t>　</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jc w:val="center"/>
        </w:trPr>
        <w:tc>
          <w:tcPr>
            <w:tcW w:w="648"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continue"/>
            <w:tcBorders>
              <w:top w:val="single" w:color="auto" w:sz="4" w:space="0"/>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single" w:color="auto" w:sz="4" w:space="0"/>
              <w:left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资金使用合规性</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6</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eastAsia="宋体"/>
                <w:kern w:val="0"/>
                <w:sz w:val="20"/>
                <w:szCs w:val="20"/>
              </w:rPr>
              <w:t>①</w:t>
            </w:r>
            <w:r>
              <w:rPr>
                <w:rFonts w:hint="eastAsia" w:ascii="Times New Roman" w:hAnsi="Times New Roman"/>
                <w:kern w:val="0"/>
                <w:sz w:val="20"/>
                <w:szCs w:val="20"/>
              </w:rPr>
              <w:t>支出符合国家财经法规和财务管理制度规定以及有关专项资金管理办法的规定；</w:t>
            </w:r>
            <w:r>
              <w:rPr>
                <w:rFonts w:hint="eastAsia" w:ascii="Times New Roman" w:hAnsi="Times New Roman" w:eastAsia="宋体"/>
                <w:kern w:val="0"/>
                <w:sz w:val="20"/>
                <w:szCs w:val="20"/>
              </w:rPr>
              <w:t>②</w:t>
            </w:r>
            <w:r>
              <w:rPr>
                <w:rFonts w:hint="eastAsia" w:ascii="Times New Roman" w:hAnsi="Times New Roman"/>
                <w:kern w:val="0"/>
                <w:sz w:val="20"/>
                <w:szCs w:val="20"/>
              </w:rPr>
              <w:t>资金拨付有完整的审批程序和手续；</w:t>
            </w:r>
            <w:r>
              <w:rPr>
                <w:rFonts w:hint="eastAsia" w:ascii="Times New Roman" w:hAnsi="Times New Roman" w:eastAsia="宋体"/>
                <w:kern w:val="0"/>
                <w:sz w:val="20"/>
                <w:szCs w:val="20"/>
              </w:rPr>
              <w:t>③</w:t>
            </w:r>
            <w:r>
              <w:rPr>
                <w:rFonts w:hint="eastAsia" w:ascii="Times New Roman" w:hAnsi="Times New Roman"/>
                <w:kern w:val="0"/>
                <w:sz w:val="20"/>
                <w:szCs w:val="20"/>
              </w:rPr>
              <w:t>项目支出按规定经过评估论证；</w:t>
            </w:r>
            <w:r>
              <w:rPr>
                <w:rFonts w:hint="eastAsia" w:ascii="Times New Roman" w:hAnsi="Times New Roman" w:eastAsia="宋体"/>
                <w:kern w:val="0"/>
                <w:sz w:val="20"/>
                <w:szCs w:val="20"/>
              </w:rPr>
              <w:t>④</w:t>
            </w:r>
            <w:r>
              <w:rPr>
                <w:rFonts w:hint="eastAsia" w:ascii="Times New Roman" w:hAnsi="Times New Roman"/>
                <w:kern w:val="0"/>
                <w:sz w:val="20"/>
                <w:szCs w:val="20"/>
              </w:rPr>
              <w:t>支出符合部门预算批复的用途；</w:t>
            </w:r>
            <w:r>
              <w:rPr>
                <w:rFonts w:hint="eastAsia" w:ascii="Times New Roman" w:hAnsi="Times New Roman" w:eastAsia="宋体"/>
                <w:kern w:val="0"/>
                <w:sz w:val="20"/>
                <w:szCs w:val="20"/>
              </w:rPr>
              <w:t>⑤</w:t>
            </w:r>
            <w:r>
              <w:rPr>
                <w:rFonts w:hint="eastAsia" w:ascii="Times New Roman" w:hAnsi="Times New Roman"/>
                <w:kern w:val="0"/>
                <w:sz w:val="20"/>
                <w:szCs w:val="20"/>
              </w:rPr>
              <w:t>资金使用无截留、挤占、挪用、虚列支出等情况。</w:t>
            </w:r>
          </w:p>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以上情况每出现一例不符合要求的扣</w:t>
            </w:r>
            <w:r>
              <w:rPr>
                <w:rFonts w:ascii="Times New Roman" w:hAnsi="Times New Roman"/>
                <w:kern w:val="0"/>
                <w:sz w:val="20"/>
                <w:szCs w:val="20"/>
              </w:rPr>
              <w:t>1</w:t>
            </w:r>
            <w:r>
              <w:rPr>
                <w:rFonts w:hint="eastAsia" w:ascii="Times New Roman" w:hAnsi="Times New Roman"/>
                <w:kern w:val="0"/>
                <w:sz w:val="20"/>
                <w:szCs w:val="20"/>
              </w:rPr>
              <w:t>分，扣完为止。</w:t>
            </w:r>
          </w:p>
        </w:tc>
        <w:tc>
          <w:tcPr>
            <w:tcW w:w="315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6</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continue"/>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spacing w:val="-17"/>
                <w:kern w:val="0"/>
                <w:sz w:val="20"/>
                <w:szCs w:val="20"/>
              </w:rPr>
              <w:t>预决算信息</w:t>
            </w:r>
            <w:r>
              <w:rPr>
                <w:rFonts w:hint="eastAsia" w:ascii="Times New Roman" w:hAnsi="Times New Roman"/>
                <w:kern w:val="0"/>
                <w:sz w:val="20"/>
                <w:szCs w:val="20"/>
              </w:rPr>
              <w:t>公开性</w:t>
            </w:r>
          </w:p>
        </w:tc>
        <w:tc>
          <w:tcPr>
            <w:tcW w:w="41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5</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eastAsia="宋体"/>
                <w:kern w:val="0"/>
                <w:sz w:val="20"/>
                <w:szCs w:val="20"/>
              </w:rPr>
              <w:t>①</w:t>
            </w:r>
            <w:r>
              <w:rPr>
                <w:rFonts w:hint="eastAsia" w:ascii="Times New Roman" w:hAnsi="Times New Roman"/>
                <w:kern w:val="0"/>
                <w:sz w:val="20"/>
                <w:szCs w:val="20"/>
              </w:rPr>
              <w:t>按规定内容公开预决算信息，</w:t>
            </w:r>
            <w:r>
              <w:rPr>
                <w:rFonts w:ascii="Times New Roman" w:hAnsi="Times New Roman"/>
                <w:kern w:val="0"/>
                <w:sz w:val="20"/>
                <w:szCs w:val="20"/>
              </w:rPr>
              <w:t>1</w:t>
            </w:r>
            <w:r>
              <w:rPr>
                <w:rFonts w:hint="eastAsia" w:ascii="Times New Roman" w:hAnsi="Times New Roman"/>
                <w:kern w:val="0"/>
                <w:sz w:val="20"/>
                <w:szCs w:val="20"/>
              </w:rPr>
              <w:t>分；</w:t>
            </w:r>
            <w:r>
              <w:rPr>
                <w:rFonts w:hint="eastAsia" w:ascii="Times New Roman" w:hAnsi="Times New Roman" w:eastAsia="宋体"/>
                <w:kern w:val="0"/>
                <w:sz w:val="20"/>
                <w:szCs w:val="20"/>
              </w:rPr>
              <w:t>②</w:t>
            </w:r>
            <w:r>
              <w:rPr>
                <w:rFonts w:hint="eastAsia" w:ascii="Times New Roman" w:hAnsi="Times New Roman"/>
                <w:kern w:val="0"/>
                <w:sz w:val="20"/>
                <w:szCs w:val="20"/>
              </w:rPr>
              <w:t>按规定时限公开预决算信息，</w:t>
            </w:r>
            <w:r>
              <w:rPr>
                <w:rFonts w:ascii="Times New Roman" w:hAnsi="Times New Roman"/>
                <w:kern w:val="0"/>
                <w:sz w:val="20"/>
                <w:szCs w:val="20"/>
              </w:rPr>
              <w:t>1</w:t>
            </w:r>
            <w:r>
              <w:rPr>
                <w:rFonts w:hint="eastAsia" w:ascii="Times New Roman" w:hAnsi="Times New Roman"/>
                <w:kern w:val="0"/>
                <w:sz w:val="20"/>
                <w:szCs w:val="20"/>
              </w:rPr>
              <w:t>分；</w:t>
            </w:r>
            <w:r>
              <w:rPr>
                <w:rFonts w:hint="eastAsia" w:ascii="Times New Roman" w:hAnsi="Times New Roman" w:eastAsia="宋体"/>
                <w:kern w:val="0"/>
                <w:sz w:val="20"/>
                <w:szCs w:val="20"/>
              </w:rPr>
              <w:t>③</w:t>
            </w:r>
            <w:r>
              <w:rPr>
                <w:rFonts w:hint="eastAsia" w:ascii="Times New Roman" w:hAnsi="Times New Roman"/>
                <w:kern w:val="0"/>
                <w:sz w:val="20"/>
                <w:szCs w:val="20"/>
              </w:rPr>
              <w:t>基础数据信息和会计信息资料真实，</w:t>
            </w:r>
            <w:r>
              <w:rPr>
                <w:rFonts w:ascii="Times New Roman" w:hAnsi="Times New Roman"/>
                <w:kern w:val="0"/>
                <w:sz w:val="20"/>
                <w:szCs w:val="20"/>
              </w:rPr>
              <w:t>1</w:t>
            </w:r>
            <w:r>
              <w:rPr>
                <w:rFonts w:hint="eastAsia" w:ascii="Times New Roman" w:hAnsi="Times New Roman"/>
                <w:kern w:val="0"/>
                <w:sz w:val="20"/>
                <w:szCs w:val="20"/>
              </w:rPr>
              <w:t>分；</w:t>
            </w:r>
            <w:r>
              <w:rPr>
                <w:rFonts w:hint="eastAsia" w:ascii="Times New Roman" w:hAnsi="Times New Roman" w:eastAsia="宋体"/>
                <w:kern w:val="0"/>
                <w:sz w:val="20"/>
                <w:szCs w:val="20"/>
              </w:rPr>
              <w:t>④</w:t>
            </w:r>
            <w:r>
              <w:rPr>
                <w:rFonts w:hint="eastAsia" w:ascii="Times New Roman" w:hAnsi="Times New Roman"/>
                <w:kern w:val="0"/>
                <w:sz w:val="20"/>
                <w:szCs w:val="20"/>
              </w:rPr>
              <w:t>基础数据信息和会计信息资料完整，</w:t>
            </w:r>
            <w:r>
              <w:rPr>
                <w:rFonts w:ascii="Times New Roman" w:hAnsi="Times New Roman"/>
                <w:kern w:val="0"/>
                <w:sz w:val="20"/>
                <w:szCs w:val="20"/>
              </w:rPr>
              <w:t>1</w:t>
            </w:r>
            <w:r>
              <w:rPr>
                <w:rFonts w:hint="eastAsia" w:ascii="Times New Roman" w:hAnsi="Times New Roman"/>
                <w:kern w:val="0"/>
                <w:sz w:val="20"/>
                <w:szCs w:val="20"/>
              </w:rPr>
              <w:t>分；</w:t>
            </w:r>
            <w:r>
              <w:rPr>
                <w:rFonts w:hint="eastAsia" w:ascii="Times New Roman" w:hAnsi="Times New Roman" w:eastAsia="宋体"/>
                <w:kern w:val="0"/>
                <w:sz w:val="20"/>
                <w:szCs w:val="20"/>
              </w:rPr>
              <w:t>⑤</w:t>
            </w:r>
            <w:r>
              <w:rPr>
                <w:rFonts w:hint="eastAsia" w:ascii="Times New Roman" w:hAnsi="Times New Roman"/>
                <w:kern w:val="0"/>
                <w:sz w:val="20"/>
                <w:szCs w:val="20"/>
              </w:rPr>
              <w:t>基础数据信息和汇集信息资料准确，</w:t>
            </w:r>
            <w:r>
              <w:rPr>
                <w:rFonts w:ascii="Times New Roman" w:hAnsi="Times New Roman"/>
                <w:kern w:val="0"/>
                <w:sz w:val="20"/>
                <w:szCs w:val="20"/>
              </w:rPr>
              <w:t>1</w:t>
            </w:r>
            <w:r>
              <w:rPr>
                <w:rFonts w:hint="eastAsia" w:ascii="Times New Roman" w:hAnsi="Times New Roman"/>
                <w:kern w:val="0"/>
                <w:sz w:val="20"/>
                <w:szCs w:val="20"/>
              </w:rPr>
              <w:t>分。</w:t>
            </w:r>
            <w:r>
              <w:rPr>
                <w:rFonts w:ascii="Times New Roman" w:hAnsi="Times New Roman"/>
                <w:kern w:val="0"/>
                <w:sz w:val="20"/>
                <w:szCs w:val="20"/>
              </w:rPr>
              <w:t xml:space="preserve">  </w:t>
            </w:r>
          </w:p>
        </w:tc>
        <w:tc>
          <w:tcPr>
            <w:tcW w:w="315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5</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jc w:val="center"/>
        </w:trPr>
        <w:tc>
          <w:tcPr>
            <w:tcW w:w="648"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产出及效率</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26</w:t>
            </w:r>
          </w:p>
        </w:tc>
        <w:tc>
          <w:tcPr>
            <w:tcW w:w="673"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职责履行</w:t>
            </w:r>
          </w:p>
        </w:tc>
        <w:tc>
          <w:tcPr>
            <w:tcW w:w="41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8</w:t>
            </w:r>
          </w:p>
        </w:tc>
        <w:tc>
          <w:tcPr>
            <w:tcW w:w="1072" w:type="dxa"/>
            <w:tcBorders>
              <w:top w:val="nil"/>
              <w:left w:val="nil"/>
              <w:bottom w:val="nil"/>
              <w:right w:val="single" w:color="auto" w:sz="4" w:space="0"/>
            </w:tcBorders>
            <w:vAlign w:val="center"/>
          </w:tcPr>
          <w:p>
            <w:pPr>
              <w:widowControl/>
              <w:spacing w:line="280" w:lineRule="exact"/>
              <w:jc w:val="center"/>
              <w:rPr>
                <w:rFonts w:ascii="Times New Roman" w:hAnsi="Times New Roman"/>
                <w:spacing w:val="-20"/>
                <w:kern w:val="0"/>
                <w:sz w:val="20"/>
                <w:szCs w:val="20"/>
              </w:rPr>
            </w:pPr>
            <w:r>
              <w:rPr>
                <w:rFonts w:hint="eastAsia" w:ascii="Times New Roman" w:hAnsi="Times New Roman"/>
                <w:spacing w:val="-20"/>
                <w:kern w:val="0"/>
                <w:sz w:val="20"/>
                <w:szCs w:val="20"/>
              </w:rPr>
              <w:t>重点工作</w:t>
            </w:r>
          </w:p>
          <w:p>
            <w:pPr>
              <w:widowControl/>
              <w:spacing w:line="280" w:lineRule="exact"/>
              <w:jc w:val="center"/>
              <w:rPr>
                <w:rFonts w:ascii="Times New Roman" w:hAnsi="Times New Roman"/>
                <w:kern w:val="0"/>
                <w:sz w:val="20"/>
                <w:szCs w:val="20"/>
              </w:rPr>
            </w:pPr>
            <w:r>
              <w:rPr>
                <w:rFonts w:hint="eastAsia" w:ascii="Times New Roman" w:hAnsi="Times New Roman"/>
                <w:spacing w:val="-20"/>
                <w:kern w:val="0"/>
                <w:sz w:val="20"/>
                <w:szCs w:val="20"/>
              </w:rPr>
              <w:t>实际完成率</w:t>
            </w:r>
          </w:p>
        </w:tc>
        <w:tc>
          <w:tcPr>
            <w:tcW w:w="41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8</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根据绩效办对各部门为民办实事和部门重点工程与重点工作考核分数折算。</w:t>
            </w:r>
          </w:p>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该项得分</w:t>
            </w:r>
            <w:r>
              <w:rPr>
                <w:rFonts w:ascii="Times New Roman" w:hAnsi="Times New Roman"/>
                <w:kern w:val="0"/>
                <w:sz w:val="20"/>
                <w:szCs w:val="20"/>
              </w:rPr>
              <w:t>=</w:t>
            </w:r>
            <w:r>
              <w:rPr>
                <w:rFonts w:hint="eastAsia" w:ascii="Times New Roman" w:hAnsi="Times New Roman"/>
                <w:kern w:val="0"/>
                <w:sz w:val="20"/>
                <w:szCs w:val="20"/>
              </w:rPr>
              <w:t>（绩效办对应部分考核得分</w:t>
            </w:r>
            <w:r>
              <w:rPr>
                <w:rFonts w:ascii="Times New Roman" w:hAnsi="Times New Roman"/>
                <w:kern w:val="0"/>
                <w:sz w:val="20"/>
                <w:szCs w:val="20"/>
              </w:rPr>
              <w:t>/350</w:t>
            </w:r>
            <w:r>
              <w:rPr>
                <w:rFonts w:hint="eastAsia" w:ascii="Times New Roman" w:hAnsi="Times New Roman"/>
                <w:kern w:val="0"/>
                <w:sz w:val="20"/>
                <w:szCs w:val="20"/>
              </w:rPr>
              <w:t>）</w:t>
            </w:r>
            <w:r>
              <w:rPr>
                <w:rFonts w:ascii="Times New Roman" w:hAnsi="Times New Roman"/>
                <w:kern w:val="0"/>
                <w:sz w:val="20"/>
                <w:szCs w:val="20"/>
              </w:rPr>
              <w:t>*8</w:t>
            </w:r>
          </w:p>
        </w:tc>
        <w:tc>
          <w:tcPr>
            <w:tcW w:w="315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8</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trHeight w:val="357"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履职</w:t>
            </w:r>
            <w:r>
              <w:rPr>
                <w:rFonts w:ascii="Times New Roman" w:hAnsi="Times New Roman"/>
                <w:kern w:val="0"/>
                <w:sz w:val="20"/>
                <w:szCs w:val="20"/>
              </w:rPr>
              <w:t xml:space="preserve"> </w:t>
            </w:r>
            <w:r>
              <w:rPr>
                <w:rFonts w:hint="eastAsia" w:ascii="Times New Roman" w:hAnsi="Times New Roman"/>
                <w:kern w:val="0"/>
                <w:sz w:val="20"/>
                <w:szCs w:val="20"/>
              </w:rPr>
              <w:t>效益</w:t>
            </w: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6</w:t>
            </w:r>
          </w:p>
        </w:tc>
        <w:tc>
          <w:tcPr>
            <w:tcW w:w="1072"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经济效益</w:t>
            </w:r>
          </w:p>
        </w:tc>
        <w:tc>
          <w:tcPr>
            <w:tcW w:w="416" w:type="dxa"/>
            <w:vMerge w:val="restart"/>
            <w:tcBorders>
              <w:top w:val="nil"/>
              <w:left w:val="single" w:color="auto" w:sz="4" w:space="0"/>
              <w:bottom w:val="nil"/>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6</w:t>
            </w:r>
          </w:p>
        </w:tc>
        <w:tc>
          <w:tcPr>
            <w:tcW w:w="5477" w:type="dxa"/>
            <w:gridSpan w:val="2"/>
            <w:vMerge w:val="restart"/>
            <w:tcBorders>
              <w:top w:val="single" w:color="auto" w:sz="4" w:space="0"/>
              <w:left w:val="single" w:color="auto" w:sz="4" w:space="0"/>
              <w:bottom w:val="nil"/>
              <w:right w:val="single" w:color="000000"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此两项指标为设置部门整体支出绩效评价指标时必须考虑的共性要素，可根据部门实际情况有选择的进行设置，并将其细化为相应的个性化指标。</w:t>
            </w:r>
          </w:p>
        </w:tc>
        <w:tc>
          <w:tcPr>
            <w:tcW w:w="637" w:type="dxa"/>
            <w:vMerge w:val="restart"/>
            <w:tcBorders>
              <w:top w:val="nil"/>
              <w:left w:val="nil"/>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6</w:t>
            </w:r>
          </w:p>
        </w:tc>
        <w:tc>
          <w:tcPr>
            <w:tcW w:w="637" w:type="dxa"/>
            <w:tcBorders>
              <w:top w:val="nil"/>
              <w:left w:val="nil"/>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hint="eastAsia" w:ascii="Times New Roman" w:hAnsi="Times New Roman"/>
                <w:kern w:val="0"/>
                <w:sz w:val="20"/>
                <w:szCs w:val="20"/>
              </w:rPr>
              <w:t>社会效益</w:t>
            </w:r>
          </w:p>
        </w:tc>
        <w:tc>
          <w:tcPr>
            <w:tcW w:w="416" w:type="dxa"/>
            <w:vMerge w:val="continue"/>
            <w:tcBorders>
              <w:top w:val="nil"/>
              <w:left w:val="single" w:color="auto" w:sz="4" w:space="0"/>
              <w:bottom w:val="nil"/>
              <w:right w:val="single" w:color="auto" w:sz="4" w:space="0"/>
            </w:tcBorders>
            <w:vAlign w:val="center"/>
          </w:tcPr>
          <w:p>
            <w:pPr>
              <w:widowControl/>
              <w:spacing w:line="280" w:lineRule="exact"/>
              <w:jc w:val="left"/>
              <w:rPr>
                <w:rFonts w:ascii="Times New Roman" w:hAnsi="Times New Roman"/>
                <w:kern w:val="0"/>
                <w:sz w:val="20"/>
                <w:szCs w:val="20"/>
              </w:rPr>
            </w:pPr>
          </w:p>
        </w:tc>
        <w:tc>
          <w:tcPr>
            <w:tcW w:w="5477" w:type="dxa"/>
            <w:gridSpan w:val="2"/>
            <w:vMerge w:val="continue"/>
            <w:tcBorders>
              <w:top w:val="single" w:color="auto" w:sz="4" w:space="0"/>
              <w:left w:val="single" w:color="auto" w:sz="4" w:space="0"/>
              <w:bottom w:val="nil"/>
              <w:right w:val="single" w:color="000000" w:sz="4" w:space="0"/>
            </w:tcBorders>
            <w:vAlign w:val="center"/>
          </w:tcPr>
          <w:p>
            <w:pPr>
              <w:widowControl/>
              <w:spacing w:line="240" w:lineRule="exact"/>
              <w:jc w:val="left"/>
              <w:rPr>
                <w:rFonts w:ascii="Times New Roman" w:hAnsi="Times New Roman"/>
                <w:kern w:val="0"/>
                <w:sz w:val="20"/>
                <w:szCs w:val="20"/>
              </w:rPr>
            </w:pPr>
          </w:p>
        </w:tc>
        <w:tc>
          <w:tcPr>
            <w:tcW w:w="637" w:type="dxa"/>
            <w:vMerge w:val="continue"/>
            <w:tcBorders>
              <w:left w:val="nil"/>
              <w:bottom w:val="nil"/>
              <w:right w:val="single" w:color="auto" w:sz="4" w:space="0"/>
            </w:tcBorders>
            <w:vAlign w:val="center"/>
          </w:tcPr>
          <w:p>
            <w:pPr>
              <w:widowControl/>
              <w:spacing w:line="280" w:lineRule="exact"/>
              <w:jc w:val="left"/>
              <w:rPr>
                <w:rFonts w:ascii="Times New Roman" w:hAnsi="Times New Roman"/>
                <w:kern w:val="0"/>
                <w:sz w:val="24"/>
                <w:szCs w:val="24"/>
              </w:rPr>
            </w:pPr>
          </w:p>
        </w:tc>
        <w:tc>
          <w:tcPr>
            <w:tcW w:w="637" w:type="dxa"/>
            <w:tcBorders>
              <w:left w:val="nil"/>
              <w:bottom w:val="nil"/>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restart"/>
            <w:tcBorders>
              <w:top w:val="nil"/>
              <w:left w:val="single" w:color="auto" w:sz="4" w:space="0"/>
              <w:bottom w:val="single" w:color="000000"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12</w:t>
            </w:r>
          </w:p>
        </w:tc>
        <w:tc>
          <w:tcPr>
            <w:tcW w:w="1072"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行政效能</w:t>
            </w:r>
          </w:p>
        </w:tc>
        <w:tc>
          <w:tcPr>
            <w:tcW w:w="416" w:type="dxa"/>
            <w:tcBorders>
              <w:top w:val="single" w:color="auto" w:sz="4" w:space="0"/>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6</w:t>
            </w:r>
          </w:p>
        </w:tc>
        <w:tc>
          <w:tcPr>
            <w:tcW w:w="2324"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促进部门改进文风会风，加强经费及资产管理，推动网上办事，提高行政效率，降低行政成本效果较好的计</w:t>
            </w:r>
            <w:r>
              <w:rPr>
                <w:rFonts w:ascii="Times New Roman" w:hAnsi="Times New Roman"/>
                <w:kern w:val="0"/>
                <w:sz w:val="20"/>
                <w:szCs w:val="20"/>
              </w:rPr>
              <w:t>6</w:t>
            </w:r>
            <w:r>
              <w:rPr>
                <w:rFonts w:hint="eastAsia" w:ascii="Times New Roman" w:hAnsi="Times New Roman"/>
                <w:kern w:val="0"/>
                <w:sz w:val="20"/>
                <w:szCs w:val="20"/>
              </w:rPr>
              <w:t>分；一般</w:t>
            </w:r>
            <w:r>
              <w:rPr>
                <w:rFonts w:ascii="Times New Roman" w:hAnsi="Times New Roman"/>
                <w:kern w:val="0"/>
                <w:sz w:val="20"/>
                <w:szCs w:val="20"/>
              </w:rPr>
              <w:t>3</w:t>
            </w:r>
            <w:r>
              <w:rPr>
                <w:rFonts w:hint="eastAsia" w:ascii="Times New Roman" w:hAnsi="Times New Roman"/>
                <w:kern w:val="0"/>
                <w:sz w:val="20"/>
                <w:szCs w:val="20"/>
              </w:rPr>
              <w:t>分；无效果或者效果不明显</w:t>
            </w:r>
            <w:r>
              <w:rPr>
                <w:rFonts w:ascii="Times New Roman" w:hAnsi="Times New Roman"/>
                <w:kern w:val="0"/>
                <w:sz w:val="20"/>
                <w:szCs w:val="20"/>
              </w:rPr>
              <w:t>0</w:t>
            </w:r>
            <w:r>
              <w:rPr>
                <w:rFonts w:hint="eastAsia" w:ascii="Times New Roman" w:hAnsi="Times New Roman"/>
                <w:kern w:val="0"/>
                <w:sz w:val="20"/>
                <w:szCs w:val="20"/>
              </w:rPr>
              <w:t>分。</w:t>
            </w:r>
          </w:p>
        </w:tc>
        <w:tc>
          <w:tcPr>
            <w:tcW w:w="3153" w:type="dxa"/>
            <w:tcBorders>
              <w:top w:val="single" w:color="auto" w:sz="4" w:space="0"/>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根据部门自评材料评定。</w:t>
            </w:r>
          </w:p>
        </w:tc>
        <w:tc>
          <w:tcPr>
            <w:tcW w:w="637" w:type="dxa"/>
            <w:tcBorders>
              <w:top w:val="single" w:color="auto" w:sz="4" w:space="0"/>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6</w:t>
            </w:r>
          </w:p>
        </w:tc>
        <w:tc>
          <w:tcPr>
            <w:tcW w:w="637" w:type="dxa"/>
            <w:tcBorders>
              <w:top w:val="single" w:color="auto" w:sz="4" w:space="0"/>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r>
        <w:tblPrEx>
          <w:tblLayout w:type="fixed"/>
          <w:tblCellMar>
            <w:top w:w="0" w:type="dxa"/>
            <w:left w:w="108" w:type="dxa"/>
            <w:bottom w:w="0" w:type="dxa"/>
            <w:right w:w="108" w:type="dxa"/>
          </w:tblCellMar>
        </w:tblPrEx>
        <w:trPr>
          <w:trHeight w:val="1250" w:hRule="atLeast"/>
          <w:jc w:val="center"/>
        </w:trPr>
        <w:tc>
          <w:tcPr>
            <w:tcW w:w="648"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673"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416" w:type="dxa"/>
            <w:vMerge w:val="continue"/>
            <w:tcBorders>
              <w:top w:val="nil"/>
              <w:left w:val="single" w:color="auto" w:sz="4" w:space="0"/>
              <w:bottom w:val="single" w:color="000000" w:sz="4" w:space="0"/>
              <w:right w:val="single" w:color="auto" w:sz="4" w:space="0"/>
            </w:tcBorders>
            <w:vAlign w:val="center"/>
          </w:tcPr>
          <w:p>
            <w:pPr>
              <w:widowControl/>
              <w:spacing w:line="280" w:lineRule="exact"/>
              <w:jc w:val="left"/>
              <w:rPr>
                <w:rFonts w:ascii="Times New Roman" w:hAnsi="Times New Roman"/>
                <w:kern w:val="0"/>
                <w:sz w:val="20"/>
                <w:szCs w:val="20"/>
              </w:rPr>
            </w:pPr>
          </w:p>
        </w:tc>
        <w:tc>
          <w:tcPr>
            <w:tcW w:w="1072"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社会公众或服务对象满意度</w:t>
            </w:r>
          </w:p>
        </w:tc>
        <w:tc>
          <w:tcPr>
            <w:tcW w:w="416" w:type="dxa"/>
            <w:tcBorders>
              <w:top w:val="nil"/>
              <w:left w:val="nil"/>
              <w:bottom w:val="single" w:color="auto" w:sz="4" w:space="0"/>
              <w:right w:val="single" w:color="auto" w:sz="4" w:space="0"/>
            </w:tcBorders>
            <w:vAlign w:val="center"/>
          </w:tcPr>
          <w:p>
            <w:pPr>
              <w:widowControl/>
              <w:spacing w:line="280" w:lineRule="exact"/>
              <w:jc w:val="center"/>
              <w:rPr>
                <w:rFonts w:ascii="Times New Roman" w:hAnsi="Times New Roman"/>
                <w:kern w:val="0"/>
                <w:sz w:val="20"/>
                <w:szCs w:val="20"/>
              </w:rPr>
            </w:pPr>
            <w:r>
              <w:rPr>
                <w:rFonts w:ascii="Times New Roman" w:hAnsi="Times New Roman"/>
                <w:kern w:val="0"/>
                <w:sz w:val="20"/>
                <w:szCs w:val="20"/>
              </w:rPr>
              <w:t>6</w:t>
            </w:r>
          </w:p>
        </w:tc>
        <w:tc>
          <w:tcPr>
            <w:tcW w:w="2324" w:type="dxa"/>
            <w:tcBorders>
              <w:top w:val="nil"/>
              <w:left w:val="nil"/>
              <w:bottom w:val="single" w:color="auto" w:sz="4" w:space="0"/>
              <w:right w:val="single" w:color="auto" w:sz="4" w:space="0"/>
            </w:tcBorders>
            <w:vAlign w:val="center"/>
          </w:tcPr>
          <w:p>
            <w:pPr>
              <w:widowControl/>
              <w:spacing w:line="240" w:lineRule="exact"/>
              <w:jc w:val="left"/>
              <w:rPr>
                <w:rFonts w:ascii="Times New Roman" w:hAnsi="Times New Roman"/>
                <w:kern w:val="0"/>
                <w:sz w:val="20"/>
                <w:szCs w:val="20"/>
              </w:rPr>
            </w:pPr>
            <w:r>
              <w:rPr>
                <w:rFonts w:ascii="Times New Roman" w:hAnsi="Times New Roman"/>
                <w:kern w:val="0"/>
                <w:sz w:val="20"/>
                <w:szCs w:val="20"/>
              </w:rPr>
              <w:t>90%</w:t>
            </w:r>
            <w:r>
              <w:rPr>
                <w:rFonts w:hint="eastAsia" w:ascii="Times New Roman" w:hAnsi="Times New Roman"/>
                <w:kern w:val="0"/>
                <w:sz w:val="20"/>
                <w:szCs w:val="20"/>
              </w:rPr>
              <w:t>（含）以上计</w:t>
            </w:r>
            <w:r>
              <w:rPr>
                <w:rFonts w:ascii="Times New Roman" w:hAnsi="Times New Roman"/>
                <w:kern w:val="0"/>
                <w:sz w:val="20"/>
                <w:szCs w:val="20"/>
              </w:rPr>
              <w:t>6</w:t>
            </w:r>
            <w:r>
              <w:rPr>
                <w:rFonts w:hint="eastAsia" w:ascii="Times New Roman" w:hAnsi="Times New Roman"/>
                <w:kern w:val="0"/>
                <w:sz w:val="20"/>
                <w:szCs w:val="20"/>
              </w:rPr>
              <w:t>分；</w:t>
            </w:r>
          </w:p>
          <w:p>
            <w:pPr>
              <w:widowControl/>
              <w:spacing w:line="240" w:lineRule="exact"/>
              <w:jc w:val="left"/>
              <w:rPr>
                <w:rFonts w:ascii="Times New Roman" w:hAnsi="Times New Roman"/>
                <w:kern w:val="0"/>
                <w:sz w:val="20"/>
                <w:szCs w:val="20"/>
              </w:rPr>
            </w:pPr>
            <w:r>
              <w:rPr>
                <w:rFonts w:ascii="Times New Roman" w:hAnsi="Times New Roman"/>
                <w:kern w:val="0"/>
                <w:sz w:val="20"/>
                <w:szCs w:val="20"/>
              </w:rPr>
              <w:t>80%</w:t>
            </w:r>
            <w:r>
              <w:rPr>
                <w:rFonts w:hint="eastAsia" w:ascii="Times New Roman" w:hAnsi="Times New Roman"/>
                <w:kern w:val="0"/>
                <w:sz w:val="20"/>
                <w:szCs w:val="20"/>
              </w:rPr>
              <w:t>（含）</w:t>
            </w:r>
            <w:r>
              <w:rPr>
                <w:rFonts w:ascii="Times New Roman" w:hAnsi="Times New Roman"/>
                <w:kern w:val="0"/>
                <w:sz w:val="20"/>
                <w:szCs w:val="20"/>
              </w:rPr>
              <w:t>-90%</w:t>
            </w:r>
            <w:r>
              <w:rPr>
                <w:rFonts w:hint="eastAsia" w:ascii="Times New Roman" w:hAnsi="Times New Roman"/>
                <w:kern w:val="0"/>
                <w:sz w:val="20"/>
                <w:szCs w:val="20"/>
              </w:rPr>
              <w:t>，计</w:t>
            </w:r>
            <w:r>
              <w:rPr>
                <w:rFonts w:ascii="Times New Roman" w:hAnsi="Times New Roman"/>
                <w:kern w:val="0"/>
                <w:sz w:val="20"/>
                <w:szCs w:val="20"/>
              </w:rPr>
              <w:t>4</w:t>
            </w:r>
            <w:r>
              <w:rPr>
                <w:rFonts w:hint="eastAsia" w:ascii="Times New Roman" w:hAnsi="Times New Roman"/>
                <w:kern w:val="0"/>
                <w:sz w:val="20"/>
                <w:szCs w:val="20"/>
              </w:rPr>
              <w:t>分；</w:t>
            </w:r>
          </w:p>
          <w:p>
            <w:pPr>
              <w:widowControl/>
              <w:spacing w:line="240" w:lineRule="exact"/>
              <w:jc w:val="left"/>
              <w:rPr>
                <w:rFonts w:ascii="Times New Roman" w:hAnsi="Times New Roman"/>
                <w:kern w:val="0"/>
                <w:sz w:val="20"/>
                <w:szCs w:val="20"/>
              </w:rPr>
            </w:pPr>
            <w:r>
              <w:rPr>
                <w:rFonts w:ascii="Times New Roman" w:hAnsi="Times New Roman"/>
                <w:kern w:val="0"/>
                <w:sz w:val="20"/>
                <w:szCs w:val="20"/>
              </w:rPr>
              <w:t>70%</w:t>
            </w:r>
            <w:r>
              <w:rPr>
                <w:rFonts w:hint="eastAsia" w:ascii="Times New Roman" w:hAnsi="Times New Roman"/>
                <w:kern w:val="0"/>
                <w:sz w:val="20"/>
                <w:szCs w:val="20"/>
              </w:rPr>
              <w:t>（含）</w:t>
            </w:r>
            <w:r>
              <w:rPr>
                <w:rFonts w:ascii="Times New Roman" w:hAnsi="Times New Roman"/>
                <w:kern w:val="0"/>
                <w:sz w:val="20"/>
                <w:szCs w:val="20"/>
              </w:rPr>
              <w:t>-80%</w:t>
            </w:r>
            <w:r>
              <w:rPr>
                <w:rFonts w:hint="eastAsia" w:ascii="Times New Roman" w:hAnsi="Times New Roman"/>
                <w:kern w:val="0"/>
                <w:sz w:val="20"/>
                <w:szCs w:val="20"/>
              </w:rPr>
              <w:t>，计</w:t>
            </w:r>
            <w:r>
              <w:rPr>
                <w:rFonts w:ascii="Times New Roman" w:hAnsi="Times New Roman"/>
                <w:kern w:val="0"/>
                <w:sz w:val="20"/>
                <w:szCs w:val="20"/>
              </w:rPr>
              <w:t>2</w:t>
            </w:r>
            <w:r>
              <w:rPr>
                <w:rFonts w:hint="eastAsia" w:ascii="Times New Roman" w:hAnsi="Times New Roman"/>
                <w:kern w:val="0"/>
                <w:sz w:val="20"/>
                <w:szCs w:val="20"/>
              </w:rPr>
              <w:t>分；</w:t>
            </w:r>
          </w:p>
          <w:p>
            <w:pPr>
              <w:widowControl/>
              <w:spacing w:line="240" w:lineRule="exact"/>
              <w:jc w:val="left"/>
              <w:rPr>
                <w:rFonts w:ascii="Times New Roman" w:hAnsi="Times New Roman"/>
                <w:kern w:val="0"/>
                <w:sz w:val="20"/>
                <w:szCs w:val="20"/>
              </w:rPr>
            </w:pPr>
            <w:r>
              <w:rPr>
                <w:rFonts w:hint="eastAsia" w:ascii="Times New Roman" w:hAnsi="Times New Roman"/>
                <w:kern w:val="0"/>
                <w:sz w:val="20"/>
                <w:szCs w:val="20"/>
              </w:rPr>
              <w:t>低于</w:t>
            </w:r>
            <w:r>
              <w:rPr>
                <w:rFonts w:ascii="Times New Roman" w:hAnsi="Times New Roman"/>
                <w:kern w:val="0"/>
                <w:sz w:val="20"/>
                <w:szCs w:val="20"/>
              </w:rPr>
              <w:t>70%</w:t>
            </w:r>
            <w:r>
              <w:rPr>
                <w:rFonts w:hint="eastAsia" w:ascii="Times New Roman" w:hAnsi="Times New Roman"/>
                <w:kern w:val="0"/>
                <w:sz w:val="20"/>
                <w:szCs w:val="20"/>
              </w:rPr>
              <w:t>计</w:t>
            </w:r>
            <w:r>
              <w:rPr>
                <w:rFonts w:ascii="Times New Roman" w:hAnsi="Times New Roman"/>
                <w:kern w:val="0"/>
                <w:sz w:val="20"/>
                <w:szCs w:val="20"/>
              </w:rPr>
              <w:t>0</w:t>
            </w:r>
            <w:r>
              <w:rPr>
                <w:rFonts w:hint="eastAsia" w:ascii="Times New Roman" w:hAnsi="Times New Roman"/>
                <w:kern w:val="0"/>
                <w:sz w:val="20"/>
                <w:szCs w:val="20"/>
              </w:rPr>
              <w:t>分。</w:t>
            </w:r>
          </w:p>
        </w:tc>
        <w:tc>
          <w:tcPr>
            <w:tcW w:w="3153" w:type="dxa"/>
            <w:tcBorders>
              <w:top w:val="nil"/>
              <w:left w:val="nil"/>
              <w:bottom w:val="single" w:color="auto" w:sz="4" w:space="0"/>
              <w:right w:val="single" w:color="auto" w:sz="4" w:space="0"/>
            </w:tcBorders>
            <w:vAlign w:val="center"/>
          </w:tcPr>
          <w:p>
            <w:pPr>
              <w:widowControl/>
              <w:spacing w:line="280" w:lineRule="exact"/>
              <w:jc w:val="left"/>
              <w:rPr>
                <w:rFonts w:ascii="Times New Roman" w:hAnsi="Times New Roman"/>
                <w:kern w:val="0"/>
                <w:sz w:val="20"/>
                <w:szCs w:val="20"/>
              </w:rPr>
            </w:pPr>
            <w:r>
              <w:rPr>
                <w:rFonts w:hint="eastAsia" w:ascii="Times New Roman" w:hAnsi="Times New Roman"/>
                <w:kern w:val="0"/>
                <w:sz w:val="20"/>
                <w:szCs w:val="20"/>
              </w:rPr>
              <w:t>社会公众或服务对象是指部门（单位）履行职责而影响到的部门、群体或个人，一般采取社会调查的方式。</w:t>
            </w:r>
          </w:p>
        </w:tc>
        <w:tc>
          <w:tcPr>
            <w:tcW w:w="637" w:type="dxa"/>
            <w:tcBorders>
              <w:top w:val="nil"/>
              <w:left w:val="nil"/>
              <w:bottom w:val="single" w:color="auto" w:sz="4" w:space="0"/>
              <w:right w:val="single" w:color="auto" w:sz="4" w:space="0"/>
            </w:tcBorders>
            <w:vAlign w:val="center"/>
          </w:tcPr>
          <w:p>
            <w:pPr>
              <w:widowControl/>
              <w:spacing w:line="280" w:lineRule="exact"/>
              <w:jc w:val="left"/>
              <w:rPr>
                <w:rFonts w:hint="eastAsia" w:ascii="Times New Roman" w:hAnsi="Times New Roman" w:eastAsia="仿宋_GB2312"/>
                <w:kern w:val="0"/>
                <w:sz w:val="24"/>
                <w:szCs w:val="24"/>
                <w:lang w:val="en-US" w:eastAsia="zh-CN"/>
              </w:rPr>
            </w:pPr>
            <w:r>
              <w:rPr>
                <w:rFonts w:hint="eastAsia" w:ascii="Times New Roman" w:hAnsi="Times New Roman"/>
                <w:kern w:val="0"/>
                <w:sz w:val="24"/>
                <w:szCs w:val="24"/>
              </w:rPr>
              <w:t>　</w:t>
            </w:r>
            <w:r>
              <w:rPr>
                <w:rFonts w:hint="eastAsia" w:ascii="Times New Roman" w:hAnsi="Times New Roman"/>
                <w:kern w:val="0"/>
                <w:sz w:val="24"/>
                <w:szCs w:val="24"/>
                <w:lang w:val="en-US" w:eastAsia="zh-CN"/>
              </w:rPr>
              <w:t>6</w:t>
            </w:r>
          </w:p>
        </w:tc>
        <w:tc>
          <w:tcPr>
            <w:tcW w:w="637" w:type="dxa"/>
            <w:tcBorders>
              <w:top w:val="nil"/>
              <w:left w:val="nil"/>
              <w:bottom w:val="single" w:color="auto" w:sz="4" w:space="0"/>
              <w:right w:val="single" w:color="auto" w:sz="4" w:space="0"/>
            </w:tcBorders>
          </w:tcPr>
          <w:p>
            <w:pPr>
              <w:widowControl/>
              <w:spacing w:line="280" w:lineRule="exact"/>
              <w:jc w:val="left"/>
              <w:rPr>
                <w:rFonts w:ascii="Times New Roman" w:hAnsi="Times New Roman"/>
                <w:kern w:val="0"/>
                <w:sz w:val="24"/>
                <w:szCs w:val="24"/>
              </w:rPr>
            </w:pPr>
          </w:p>
        </w:tc>
      </w:tr>
    </w:tbl>
    <w:p>
      <w:pPr>
        <w:spacing w:line="600" w:lineRule="exact"/>
        <w:rPr>
          <w:rFonts w:ascii="Times New Roman" w:hAnsi="Times New Roman"/>
        </w:rPr>
      </w:pPr>
    </w:p>
    <w:sectPr>
      <w:pgSz w:w="11906" w:h="16838"/>
      <w:pgMar w:top="1701" w:right="1587" w:bottom="1417"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PAGE   \* MERGEFORMAT</w:instrText>
    </w:r>
    <w:r>
      <w:fldChar w:fldCharType="separate"/>
    </w:r>
    <w:r>
      <w:rPr>
        <w:lang w:val="zh-CN"/>
      </w:rPr>
      <w:t>-</w:t>
    </w:r>
    <w:r>
      <w:t xml:space="preserve"> 13 -</w:t>
    </w:r>
    <w:r>
      <w:fldChar w:fldCharType="end"/>
    </w:r>
  </w:p>
  <w:p>
    <w:pPr>
      <w:pStyle w:val="4"/>
      <w:ind w:right="9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3343425"/>
      <w:docPartObj>
        <w:docPartGallery w:val="autotext"/>
      </w:docPartObj>
    </w:sdtPr>
    <w:sdtContent>
      <w:p>
        <w:pPr>
          <w:pStyle w:val="4"/>
          <w:jc w:val="right"/>
        </w:pPr>
        <w:r>
          <w:fldChar w:fldCharType="begin"/>
        </w:r>
        <w:r>
          <w:instrText xml:space="preserve">PAGE   \* MERGEFORMAT</w:instrText>
        </w:r>
        <w:r>
          <w:fldChar w:fldCharType="separate"/>
        </w:r>
        <w:r>
          <w:rPr>
            <w:lang w:val="zh-CN"/>
          </w:rPr>
          <w:t>-</w:t>
        </w:r>
        <w:r>
          <w:t xml:space="preserve"> 17 -</w:t>
        </w:r>
        <w:r>
          <w:fldChar w:fldCharType="end"/>
        </w:r>
      </w:p>
    </w:sdtContent>
  </w:sdt>
  <w:p>
    <w:pPr>
      <w:pStyle w:val="4"/>
      <w:ind w:right="9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60954067"/>
      <w:docPartObj>
        <w:docPartGallery w:val="autotext"/>
      </w:docPartObj>
    </w:sdtPr>
    <w:sdtContent>
      <w:p>
        <w:pPr>
          <w:pStyle w:val="4"/>
        </w:pPr>
        <w:r>
          <w:fldChar w:fldCharType="begin"/>
        </w:r>
        <w:r>
          <w:instrText xml:space="preserve">PAGE   \* MERGEFORMAT</w:instrText>
        </w:r>
        <w:r>
          <w:fldChar w:fldCharType="separate"/>
        </w:r>
        <w:r>
          <w:rPr>
            <w:lang w:val="zh-CN"/>
          </w:rPr>
          <w:t>-</w:t>
        </w:r>
        <w:r>
          <w:t xml:space="preserve"> 14 -</w:t>
        </w:r>
        <w:r>
          <w:fldChar w:fldCharType="end"/>
        </w:r>
      </w:p>
    </w:sdtContent>
  </w:sdt>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r>
      <w:rPr>
        <w:rFonts w:hint="eastAsia"/>
      </w:rPr>
      <w:t>15</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27E64"/>
    <w:multiLevelType w:val="singleLevel"/>
    <w:tmpl w:val="54327E64"/>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47"/>
    <w:rsid w:val="00005D88"/>
    <w:rsid w:val="00017EBD"/>
    <w:rsid w:val="00050733"/>
    <w:rsid w:val="00057A74"/>
    <w:rsid w:val="00064467"/>
    <w:rsid w:val="0007763D"/>
    <w:rsid w:val="0008243B"/>
    <w:rsid w:val="000877BF"/>
    <w:rsid w:val="00091E7B"/>
    <w:rsid w:val="000D230F"/>
    <w:rsid w:val="000E20BF"/>
    <w:rsid w:val="00106906"/>
    <w:rsid w:val="00111454"/>
    <w:rsid w:val="0016305B"/>
    <w:rsid w:val="00170D2C"/>
    <w:rsid w:val="00190E73"/>
    <w:rsid w:val="001918FE"/>
    <w:rsid w:val="001A2888"/>
    <w:rsid w:val="001B67CB"/>
    <w:rsid w:val="001B6A3D"/>
    <w:rsid w:val="001C0081"/>
    <w:rsid w:val="001C10FB"/>
    <w:rsid w:val="001E275B"/>
    <w:rsid w:val="001E6B38"/>
    <w:rsid w:val="001F591B"/>
    <w:rsid w:val="001F7A6C"/>
    <w:rsid w:val="00225B82"/>
    <w:rsid w:val="002436E5"/>
    <w:rsid w:val="002603D7"/>
    <w:rsid w:val="00263876"/>
    <w:rsid w:val="00264568"/>
    <w:rsid w:val="00283DDC"/>
    <w:rsid w:val="00294D02"/>
    <w:rsid w:val="002A1C9D"/>
    <w:rsid w:val="002D2B17"/>
    <w:rsid w:val="002D6DE6"/>
    <w:rsid w:val="002F4C93"/>
    <w:rsid w:val="002F7238"/>
    <w:rsid w:val="00303747"/>
    <w:rsid w:val="00304A80"/>
    <w:rsid w:val="00311F5D"/>
    <w:rsid w:val="003202CE"/>
    <w:rsid w:val="003370D8"/>
    <w:rsid w:val="00344F4D"/>
    <w:rsid w:val="00345F10"/>
    <w:rsid w:val="00347B6E"/>
    <w:rsid w:val="0035691A"/>
    <w:rsid w:val="00365CB3"/>
    <w:rsid w:val="003663D1"/>
    <w:rsid w:val="0037668D"/>
    <w:rsid w:val="003809B6"/>
    <w:rsid w:val="00382329"/>
    <w:rsid w:val="003A32AD"/>
    <w:rsid w:val="003E2B22"/>
    <w:rsid w:val="003F52D0"/>
    <w:rsid w:val="00406148"/>
    <w:rsid w:val="00406EF4"/>
    <w:rsid w:val="00413BF7"/>
    <w:rsid w:val="004358A4"/>
    <w:rsid w:val="004378B6"/>
    <w:rsid w:val="0044035E"/>
    <w:rsid w:val="00486AFF"/>
    <w:rsid w:val="00490592"/>
    <w:rsid w:val="004C06F3"/>
    <w:rsid w:val="004C0FAE"/>
    <w:rsid w:val="004C37B2"/>
    <w:rsid w:val="004C420F"/>
    <w:rsid w:val="004E1BAF"/>
    <w:rsid w:val="004E5E17"/>
    <w:rsid w:val="004F24CD"/>
    <w:rsid w:val="00502C54"/>
    <w:rsid w:val="005362BF"/>
    <w:rsid w:val="00570BC5"/>
    <w:rsid w:val="005A2FDD"/>
    <w:rsid w:val="005A43DF"/>
    <w:rsid w:val="005B5668"/>
    <w:rsid w:val="005C304E"/>
    <w:rsid w:val="005C424E"/>
    <w:rsid w:val="005D1FF9"/>
    <w:rsid w:val="005D34B9"/>
    <w:rsid w:val="005D6E14"/>
    <w:rsid w:val="005F4A12"/>
    <w:rsid w:val="0060178E"/>
    <w:rsid w:val="006078F9"/>
    <w:rsid w:val="00610F28"/>
    <w:rsid w:val="00620E58"/>
    <w:rsid w:val="006270C6"/>
    <w:rsid w:val="006354FD"/>
    <w:rsid w:val="00641607"/>
    <w:rsid w:val="00656D1E"/>
    <w:rsid w:val="00662C5F"/>
    <w:rsid w:val="006650D7"/>
    <w:rsid w:val="006766CC"/>
    <w:rsid w:val="006924C4"/>
    <w:rsid w:val="006936A2"/>
    <w:rsid w:val="006971C6"/>
    <w:rsid w:val="006D7E4D"/>
    <w:rsid w:val="006F0A44"/>
    <w:rsid w:val="006F5EBB"/>
    <w:rsid w:val="007336F9"/>
    <w:rsid w:val="00742C69"/>
    <w:rsid w:val="00783BAD"/>
    <w:rsid w:val="007A02CE"/>
    <w:rsid w:val="007B3CF7"/>
    <w:rsid w:val="007D60DD"/>
    <w:rsid w:val="00815068"/>
    <w:rsid w:val="00816734"/>
    <w:rsid w:val="00822809"/>
    <w:rsid w:val="00830963"/>
    <w:rsid w:val="00834ED6"/>
    <w:rsid w:val="00856037"/>
    <w:rsid w:val="008854AA"/>
    <w:rsid w:val="008A4AAA"/>
    <w:rsid w:val="008C5FEB"/>
    <w:rsid w:val="008D1C56"/>
    <w:rsid w:val="008D26E3"/>
    <w:rsid w:val="0095469C"/>
    <w:rsid w:val="00964943"/>
    <w:rsid w:val="009B1AC1"/>
    <w:rsid w:val="009B2C90"/>
    <w:rsid w:val="009B7757"/>
    <w:rsid w:val="009D37B4"/>
    <w:rsid w:val="009F0B2A"/>
    <w:rsid w:val="00A00E85"/>
    <w:rsid w:val="00A17F2F"/>
    <w:rsid w:val="00A23802"/>
    <w:rsid w:val="00A24C77"/>
    <w:rsid w:val="00A42276"/>
    <w:rsid w:val="00A4662B"/>
    <w:rsid w:val="00A5183F"/>
    <w:rsid w:val="00A61547"/>
    <w:rsid w:val="00A63BB3"/>
    <w:rsid w:val="00A87EDF"/>
    <w:rsid w:val="00A923A5"/>
    <w:rsid w:val="00AA3D07"/>
    <w:rsid w:val="00AA6438"/>
    <w:rsid w:val="00AD08EA"/>
    <w:rsid w:val="00AD2FCB"/>
    <w:rsid w:val="00AF6720"/>
    <w:rsid w:val="00B40C50"/>
    <w:rsid w:val="00B42100"/>
    <w:rsid w:val="00B44886"/>
    <w:rsid w:val="00B55CB9"/>
    <w:rsid w:val="00B56602"/>
    <w:rsid w:val="00B66E6A"/>
    <w:rsid w:val="00B76CEA"/>
    <w:rsid w:val="00B873BB"/>
    <w:rsid w:val="00B91775"/>
    <w:rsid w:val="00B9667B"/>
    <w:rsid w:val="00BA7E73"/>
    <w:rsid w:val="00BB2FD1"/>
    <w:rsid w:val="00BB570E"/>
    <w:rsid w:val="00BC32B0"/>
    <w:rsid w:val="00BC4FCA"/>
    <w:rsid w:val="00BC7120"/>
    <w:rsid w:val="00BD2424"/>
    <w:rsid w:val="00BD34C8"/>
    <w:rsid w:val="00BE69CE"/>
    <w:rsid w:val="00BF0FDB"/>
    <w:rsid w:val="00BF5D55"/>
    <w:rsid w:val="00C01BC1"/>
    <w:rsid w:val="00C42F72"/>
    <w:rsid w:val="00C61D3E"/>
    <w:rsid w:val="00C67E84"/>
    <w:rsid w:val="00C707E7"/>
    <w:rsid w:val="00C76C38"/>
    <w:rsid w:val="00CB004E"/>
    <w:rsid w:val="00CB6E34"/>
    <w:rsid w:val="00CC560F"/>
    <w:rsid w:val="00CC65E0"/>
    <w:rsid w:val="00CD141B"/>
    <w:rsid w:val="00CF32B5"/>
    <w:rsid w:val="00CF5DB6"/>
    <w:rsid w:val="00D0168B"/>
    <w:rsid w:val="00D039C0"/>
    <w:rsid w:val="00D24F0E"/>
    <w:rsid w:val="00D4027B"/>
    <w:rsid w:val="00D53566"/>
    <w:rsid w:val="00D6185F"/>
    <w:rsid w:val="00D65F0E"/>
    <w:rsid w:val="00D71E8A"/>
    <w:rsid w:val="00D730FC"/>
    <w:rsid w:val="00D84920"/>
    <w:rsid w:val="00D942BB"/>
    <w:rsid w:val="00D95D63"/>
    <w:rsid w:val="00DD0D05"/>
    <w:rsid w:val="00DE47CA"/>
    <w:rsid w:val="00DE4EB0"/>
    <w:rsid w:val="00DE7A52"/>
    <w:rsid w:val="00DF7A1D"/>
    <w:rsid w:val="00E13CF0"/>
    <w:rsid w:val="00E163FB"/>
    <w:rsid w:val="00E22060"/>
    <w:rsid w:val="00E52CEA"/>
    <w:rsid w:val="00E62C0E"/>
    <w:rsid w:val="00E70E00"/>
    <w:rsid w:val="00E73C44"/>
    <w:rsid w:val="00E84E5F"/>
    <w:rsid w:val="00EA025F"/>
    <w:rsid w:val="00EA1811"/>
    <w:rsid w:val="00EA55DF"/>
    <w:rsid w:val="00ED2F0B"/>
    <w:rsid w:val="00EE50E1"/>
    <w:rsid w:val="00EF1F61"/>
    <w:rsid w:val="00EF320C"/>
    <w:rsid w:val="00F007A3"/>
    <w:rsid w:val="00F246BC"/>
    <w:rsid w:val="00F24D5C"/>
    <w:rsid w:val="00F30595"/>
    <w:rsid w:val="00F353B4"/>
    <w:rsid w:val="00F3588E"/>
    <w:rsid w:val="00F46099"/>
    <w:rsid w:val="00F5351D"/>
    <w:rsid w:val="00F562FB"/>
    <w:rsid w:val="00F63924"/>
    <w:rsid w:val="00FE675D"/>
    <w:rsid w:val="102E76B6"/>
    <w:rsid w:val="11EF7A90"/>
    <w:rsid w:val="13E43ED7"/>
    <w:rsid w:val="1D4A6F10"/>
    <w:rsid w:val="1F4B325C"/>
    <w:rsid w:val="345C4E5A"/>
    <w:rsid w:val="3503112D"/>
    <w:rsid w:val="36A017AA"/>
    <w:rsid w:val="38D40EAE"/>
    <w:rsid w:val="3AE44B2F"/>
    <w:rsid w:val="3FBF3AD5"/>
    <w:rsid w:val="4FD95F95"/>
    <w:rsid w:val="51797E91"/>
    <w:rsid w:val="59AA5067"/>
    <w:rsid w:val="5D2E4B32"/>
    <w:rsid w:val="616C75CA"/>
    <w:rsid w:val="642C40E2"/>
    <w:rsid w:val="65CF4658"/>
    <w:rsid w:val="6FCB3FBC"/>
    <w:rsid w:val="70AB1479"/>
    <w:rsid w:val="788C593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仿宋_GB2312" w:hAnsi="Calibri" w:eastAsia="仿宋_GB2312" w:cs="Times New Roman"/>
      <w:kern w:val="2"/>
      <w:sz w:val="32"/>
      <w:szCs w:val="3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3"/>
    <w:semiHidden/>
    <w:qFormat/>
    <w:uiPriority w:val="99"/>
    <w:pPr>
      <w:spacing w:line="240" w:lineRule="auto"/>
      <w:ind w:left="100" w:leftChars="2500"/>
    </w:pPr>
    <w:rPr>
      <w:rFonts w:ascii="Times New Roman" w:hAnsi="Times New Roman" w:eastAsia="宋体"/>
      <w:kern w:val="0"/>
      <w:sz w:val="24"/>
      <w:szCs w:val="24"/>
    </w:rPr>
  </w:style>
  <w:style w:type="paragraph" w:styleId="3">
    <w:name w:val="Balloon Text"/>
    <w:basedOn w:val="1"/>
    <w:link w:val="12"/>
    <w:semiHidden/>
    <w:unhideWhenUsed/>
    <w:qFormat/>
    <w:uiPriority w:val="99"/>
    <w:pPr>
      <w:spacing w:line="240" w:lineRule="auto"/>
    </w:pPr>
    <w:rPr>
      <w:sz w:val="18"/>
      <w:szCs w:val="18"/>
    </w:rPr>
  </w:style>
  <w:style w:type="paragraph" w:styleId="4">
    <w:name w:val="footer"/>
    <w:basedOn w:val="1"/>
    <w:link w:val="11"/>
    <w:qFormat/>
    <w:uiPriority w:val="99"/>
    <w:pPr>
      <w:tabs>
        <w:tab w:val="center" w:pos="4153"/>
        <w:tab w:val="right" w:pos="8306"/>
      </w:tabs>
      <w:snapToGrid w:val="0"/>
      <w:spacing w:line="240" w:lineRule="atLeast"/>
      <w:jc w:val="left"/>
    </w:pPr>
    <w:rPr>
      <w:sz w:val="18"/>
      <w:szCs w:val="18"/>
    </w:rPr>
  </w:style>
  <w:style w:type="paragraph" w:styleId="5">
    <w:name w:val="header"/>
    <w:basedOn w:val="1"/>
    <w:link w:val="10"/>
    <w:qFormat/>
    <w:uiPriority w:val="99"/>
    <w:pPr>
      <w:pBdr>
        <w:bottom w:val="single" w:color="auto" w:sz="6" w:space="1"/>
      </w:pBdr>
      <w:tabs>
        <w:tab w:val="center" w:pos="4153"/>
        <w:tab w:val="right" w:pos="8306"/>
      </w:tabs>
      <w:snapToGrid w:val="0"/>
      <w:spacing w:line="240" w:lineRule="atLeast"/>
      <w:jc w:val="center"/>
    </w:pPr>
    <w:rPr>
      <w:sz w:val="18"/>
      <w:szCs w:val="18"/>
    </w:rPr>
  </w:style>
  <w:style w:type="character" w:styleId="8">
    <w:name w:val="page number"/>
    <w:basedOn w:val="7"/>
    <w:qFormat/>
    <w:uiPriority w:val="0"/>
  </w:style>
  <w:style w:type="paragraph" w:customStyle="1" w:styleId="9">
    <w:name w:val="Char"/>
    <w:basedOn w:val="1"/>
    <w:qFormat/>
    <w:uiPriority w:val="99"/>
    <w:pPr>
      <w:spacing w:line="240" w:lineRule="auto"/>
    </w:pPr>
    <w:rPr>
      <w:rFonts w:ascii="Times New Roman" w:hAnsi="Times New Roman" w:eastAsia="宋体"/>
      <w:sz w:val="21"/>
      <w:szCs w:val="20"/>
    </w:rPr>
  </w:style>
  <w:style w:type="character" w:customStyle="1" w:styleId="10">
    <w:name w:val="页眉 Char"/>
    <w:link w:val="5"/>
    <w:qFormat/>
    <w:locked/>
    <w:uiPriority w:val="99"/>
    <w:rPr>
      <w:rFonts w:ascii="仿宋_GB2312" w:hAnsi="Calibri" w:eastAsia="仿宋_GB2312" w:cs="Times New Roman"/>
      <w:sz w:val="18"/>
      <w:szCs w:val="18"/>
    </w:rPr>
  </w:style>
  <w:style w:type="character" w:customStyle="1" w:styleId="11">
    <w:name w:val="页脚 Char"/>
    <w:link w:val="4"/>
    <w:qFormat/>
    <w:locked/>
    <w:uiPriority w:val="99"/>
    <w:rPr>
      <w:rFonts w:ascii="仿宋_GB2312" w:hAnsi="Calibri" w:eastAsia="仿宋_GB2312" w:cs="Times New Roman"/>
      <w:sz w:val="18"/>
      <w:szCs w:val="18"/>
    </w:rPr>
  </w:style>
  <w:style w:type="character" w:customStyle="1" w:styleId="12">
    <w:name w:val="批注框文本 Char"/>
    <w:link w:val="3"/>
    <w:semiHidden/>
    <w:qFormat/>
    <w:uiPriority w:val="99"/>
    <w:rPr>
      <w:rFonts w:ascii="仿宋_GB2312" w:eastAsia="仿宋_GB2312"/>
      <w:kern w:val="2"/>
      <w:sz w:val="18"/>
      <w:szCs w:val="18"/>
    </w:rPr>
  </w:style>
  <w:style w:type="character" w:customStyle="1" w:styleId="13">
    <w:name w:val="日期 Char"/>
    <w:link w:val="2"/>
    <w:semiHidden/>
    <w:qFormat/>
    <w:locked/>
    <w:uiPriority w:val="99"/>
    <w:rPr>
      <w:rFonts w:ascii="Times New Roman" w:hAnsi="Times New Roman"/>
      <w:sz w:val="24"/>
      <w:szCs w:val="24"/>
    </w:rPr>
  </w:style>
  <w:style w:type="character" w:customStyle="1" w:styleId="14">
    <w:name w:val="日期 Char1"/>
    <w:basedOn w:val="7"/>
    <w:semiHidden/>
    <w:qFormat/>
    <w:uiPriority w:val="99"/>
    <w:rPr>
      <w:rFonts w:ascii="仿宋_GB2312" w:eastAsia="仿宋_GB2312"/>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17</Pages>
  <Words>1420</Words>
  <Characters>8095</Characters>
  <Lines>67</Lines>
  <Paragraphs>18</Paragraphs>
  <TotalTime>10</TotalTime>
  <ScaleCrop>false</ScaleCrop>
  <LinksUpToDate>false</LinksUpToDate>
  <CharactersWithSpaces>9497</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2019-04-15T01:57:00Z</dcterms:created>
  <dc:creator>lenovo</dc:creator>
  <cp:lastModifiedBy>Administrator</cp:lastModifiedBy>
  <cp:lastPrinted>2019-04-15T03:05:00Z</cp:lastPrinted>
  <dcterms:modified xsi:type="dcterms:W3CDTF">2019-04-24T08:47:21Z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