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20</w:t>
      </w:r>
      <w:r>
        <w:rPr>
          <w:rFonts w:hint="eastAsia" w:asciiTheme="majorEastAsia" w:hAnsiTheme="majorEastAsia" w:eastAsiaTheme="majorEastAsia" w:cstheme="majorEastAsia"/>
          <w:b/>
          <w:bCs/>
          <w:sz w:val="44"/>
          <w:szCs w:val="44"/>
          <w:lang w:val="en-US" w:eastAsia="zh-CN"/>
        </w:rPr>
        <w:t>22</w:t>
      </w:r>
      <w:r>
        <w:rPr>
          <w:rFonts w:hint="eastAsia" w:asciiTheme="majorEastAsia" w:hAnsiTheme="majorEastAsia" w:eastAsiaTheme="majorEastAsia" w:cstheme="majorEastAsia"/>
          <w:b/>
          <w:bCs/>
          <w:sz w:val="44"/>
          <w:szCs w:val="44"/>
        </w:rPr>
        <w:t xml:space="preserve">年度长沙市望城区工业和信息化局  </w:t>
      </w:r>
      <w:r>
        <w:rPr>
          <w:rFonts w:hint="eastAsia" w:asciiTheme="majorEastAsia" w:hAnsiTheme="majorEastAsia" w:eastAsiaTheme="majorEastAsia" w:cstheme="majorEastAsia"/>
          <w:b/>
          <w:bCs/>
          <w:sz w:val="44"/>
          <w:szCs w:val="44"/>
          <w:lang w:val="en-US" w:eastAsia="zh-CN"/>
        </w:rPr>
        <w:t xml:space="preserve"> </w:t>
      </w: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整体支出预算绩效自评报告</w:t>
      </w:r>
    </w:p>
    <w:p>
      <w:pPr>
        <w:pStyle w:val="7"/>
        <w:widowControl/>
        <w:spacing w:line="600" w:lineRule="exact"/>
        <w:ind w:left="640" w:firstLine="0" w:firstLineChars="0"/>
        <w:rPr>
          <w:rFonts w:hint="eastAsia" w:ascii="仿宋_GB2312" w:hAnsi="仿宋_GB2312" w:eastAsia="仿宋_GB2312" w:cs="仿宋_GB2312"/>
          <w:sz w:val="28"/>
          <w:szCs w:val="28"/>
        </w:rPr>
      </w:pPr>
      <w:bookmarkStart w:id="0" w:name="_GoBack"/>
      <w:bookmarkEnd w:id="0"/>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一、部门基本情况</w:t>
      </w:r>
    </w:p>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（一）职能职责</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拟定全区工业和信息化领域的发展战略、规划和相关政策措施并组织实施，协调解决有关重大问题；承担综合管理全区工业经济责任；推进信息化与工业化深度融合，促进工业企业数字化、网络化、智能化。</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负责全区工业经济日常运行调节和市场开拓工作；制定并组织实施工业经济运行调控目标、政策和措施；监测分析工业经济运行态势，协调解决经济运行中的突出矛盾和问题并提出政策建议。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研究提出工业和信息化领域国家、省、长沙市对口部门和本级财政性建设资金安排建议，协调推进项目建设。</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负责全区工业和信息化领域技术创新、技术进步、企业创新体系建设和品牌建设工作。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推进中小企业服务体系建设；负责小微企业创业相关服务工作。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负责工业和信息化领域能源资源综合利用和自愿性清洁生产促进工作，参与协调工业环境保护；负责节能环保产业发展的综合协调工作。</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负责工业和信息化领域行业管理相关工作；规划全区工业产业布局，引导产业结构调整，协调推进优势产业、优势产业集群和战略性新兴产业发展，指导淘汰落后产能工作，协调维护行业竞争秩序，依法组织实施相关行业的准入管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负责全区工业领域信息化的统筹规划、指导协调和监督管理工作；组织推进信息产业发展；承担通信安全和应急通信协调工作；协调推进网络基础设施建设；联系中国电信、中国移动、中国联通、中国铁塔等通讯部门驻望机构。</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完成区委、区人民政府交办的其他事项。</w:t>
      </w:r>
    </w:p>
    <w:p>
      <w:pPr>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（二）机构设置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局为财政全额拨款单位，区城镇集体工业联社、企业服务中心为本局二级机构。1、局机关内设办公室、运行监测科、产业发展科、信息化科、陶瓷产业科五个科室。局机关共有17个编制，其中:行政编制15个，工勤编制2个。2022年年末局机关实有在职人数18人，政府雇员1人，合同制退役士官1人，临聘人员8人，退休人员42人。2、区城镇集体工业联社,为工业和信息化局管理的二级机构,财政全额拨款单位,参照公务员法管理,内设行政办公室、财务科、劳动人事科三个科室。共有事业编制8个。2022年年末实有在职人数9人,临聘人员2人,退休人员22人;3、区企业服务中心为工业和信息化局管理的副科级公益类事业单位,核定事业编制3名,2022年年末实有在职人数3人。</w:t>
      </w:r>
    </w:p>
    <w:p>
      <w:pPr>
        <w:numPr>
          <w:ilvl w:val="0"/>
          <w:numId w:val="1"/>
        </w:numP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部门整体预算支出情况</w:t>
      </w:r>
    </w:p>
    <w:p>
      <w:pPr>
        <w:pStyle w:val="7"/>
        <w:widowControl/>
        <w:numPr>
          <w:ilvl w:val="0"/>
          <w:numId w:val="0"/>
        </w:numPr>
        <w:spacing w:line="600" w:lineRule="exact"/>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年一般公共预算拨款收入</w:t>
      </w:r>
      <w:r>
        <w:rPr>
          <w:rFonts w:hint="eastAsia" w:ascii="仿宋_GB2312" w:hAnsi="仿宋_GB2312" w:eastAsia="仿宋_GB2312" w:cs="仿宋_GB2312"/>
          <w:sz w:val="28"/>
          <w:szCs w:val="28"/>
          <w:lang w:val="en-US" w:eastAsia="zh-CN"/>
        </w:rPr>
        <w:t>2391.96</w:t>
      </w:r>
      <w:r>
        <w:rPr>
          <w:rFonts w:hint="eastAsia" w:ascii="仿宋_GB2312" w:hAnsi="仿宋_GB2312" w:eastAsia="仿宋_GB2312" w:cs="仿宋_GB2312"/>
          <w:sz w:val="28"/>
          <w:szCs w:val="28"/>
        </w:rPr>
        <w:t>万元，具体安排情况如下:</w:t>
      </w:r>
    </w:p>
    <w:p>
      <w:pPr>
        <w:numPr>
          <w:ilvl w:val="0"/>
          <w:numId w:val="2"/>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基本支出</w:t>
      </w:r>
      <w:r>
        <w:rPr>
          <w:rFonts w:hint="eastAsia" w:ascii="仿宋_GB2312" w:hAnsi="仿宋_GB2312" w:eastAsia="仿宋_GB2312" w:cs="仿宋_GB2312"/>
          <w:sz w:val="28"/>
          <w:szCs w:val="28"/>
          <w:lang w:eastAsia="zh-CN"/>
        </w:rPr>
        <w:t>情况</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年初预算数为1084.96万元，是指为保障单位机构正常运转、完成日常工作任务而发生的各项支出，包括用于基本工资、津贴补贴等人员经费以及办公费、印刷费、水电费、办公设备购置等日常公用经费。其中人员经费1,045.96万元,公用经费39万元。</w:t>
      </w:r>
    </w:p>
    <w:p>
      <w:pPr>
        <w:pStyle w:val="7"/>
        <w:widowControl/>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（二）</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eastAsia="zh-CN"/>
        </w:rPr>
        <w:t>情况</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年初预算数为1307万元，是指单位为完成特定行政工作任务或事业发展目标而发生的支出,包括有关事业发展专项、专项业务费、基本建设支出、对街镇专项补助等其中:企业关闭破产补助1,002万元,主要用于铜官陶瓷公司40、50人员生活补助及留守处费用和留守人员工资、区城镇集体工业联社45、55生活补助和40、50生活补助等方面;一般行政管理事务255万元,主要用于工业运行调度协调、工业信息化建设、工业信息发布、招商引资等方面;一般行政管理事务50万元,主要用于移交办工作经费等方面。</w:t>
      </w:r>
    </w:p>
    <w:p>
      <w:pPr>
        <w:widowControl/>
        <w:numPr>
          <w:ilvl w:val="0"/>
          <w:numId w:val="1"/>
        </w:numPr>
        <w:spacing w:line="600" w:lineRule="exact"/>
        <w:ind w:left="0" w:leftChars="0" w:firstLine="0" w:firstLineChars="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部门整体支出绩效情况</w:t>
      </w:r>
    </w:p>
    <w:p>
      <w:pPr>
        <w:widowControl/>
        <w:numPr>
          <w:ilvl w:val="0"/>
          <w:numId w:val="0"/>
        </w:numPr>
        <w:spacing w:line="600" w:lineRule="exact"/>
        <w:ind w:leftChars="0" w:firstLine="562"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color w:val="000000"/>
          <w:sz w:val="28"/>
          <w:szCs w:val="28"/>
          <w:lang w:val="en-US" w:eastAsia="zh-CN"/>
        </w:rPr>
        <w:t>（一）工业经济，赢得了“进”的势头。</w:t>
      </w:r>
      <w:r>
        <w:rPr>
          <w:rFonts w:hint="eastAsia" w:ascii="仿宋_GB2312" w:hAnsi="仿宋_GB2312" w:eastAsia="仿宋_GB2312" w:cs="仿宋_GB2312"/>
          <w:bCs/>
          <w:sz w:val="28"/>
          <w:szCs w:val="28"/>
        </w:rPr>
        <w:t>努力克服疫情反复、外部环境复杂多变等困难挑战，紧盯全年目标任务不放松，坚持动态监测、多维研判，全力推动各项指标稳中有进</w:t>
      </w:r>
      <w:r>
        <w:rPr>
          <w:rFonts w:hint="eastAsia" w:ascii="仿宋_GB2312" w:hAnsi="仿宋_GB2312" w:eastAsia="仿宋_GB2312" w:cs="仿宋_GB2312"/>
          <w:bCs/>
          <w:sz w:val="28"/>
          <w:szCs w:val="28"/>
          <w:lang w:eastAsia="zh-CN"/>
        </w:rPr>
        <w:t>，我局获评2022年全省中小企业运行监测先进单位、2022年度湖南工业数据云建设先进单位</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highlight w:val="none"/>
          <w:lang w:val="en-US" w:eastAsia="zh-CN"/>
        </w:rPr>
        <w:t>一是主要指标名列前茅。</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bCs/>
          <w:sz w:val="28"/>
          <w:szCs w:val="28"/>
        </w:rPr>
        <w:t>月全区累计完成规模工</w:t>
      </w:r>
      <w:r>
        <w:rPr>
          <w:rFonts w:hint="eastAsia" w:ascii="仿宋_GB2312" w:hAnsi="仿宋_GB2312" w:eastAsia="仿宋_GB2312" w:cs="仿宋_GB2312"/>
          <w:sz w:val="28"/>
          <w:szCs w:val="28"/>
        </w:rPr>
        <w:t>业</w:t>
      </w:r>
      <w:r>
        <w:rPr>
          <w:rFonts w:hint="eastAsia" w:ascii="仿宋_GB2312" w:hAnsi="仿宋_GB2312" w:eastAsia="仿宋_GB2312" w:cs="仿宋_GB2312"/>
          <w:bCs/>
          <w:sz w:val="28"/>
          <w:szCs w:val="28"/>
        </w:rPr>
        <w:t>产值869.89亿元，同比增长3.57%</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规模工业增加值增速达6.9%，增速在四区县市中排名第二（</w:t>
      </w:r>
      <w:r>
        <w:rPr>
          <w:rFonts w:hint="eastAsia" w:ascii="仿宋_GB2312" w:hAnsi="仿宋_GB2312" w:eastAsia="仿宋_GB2312" w:cs="仿宋_GB2312"/>
          <w:color w:val="auto"/>
          <w:sz w:val="28"/>
          <w:szCs w:val="28"/>
          <w:highlight w:val="none"/>
          <w:lang w:val="en-US" w:eastAsia="zh-CN"/>
        </w:rPr>
        <w:t>不含白黄金雷增速预计为8.0%，位列四区县市第一</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sz w:val="28"/>
          <w:szCs w:val="28"/>
          <w:highlight w:val="none"/>
          <w:lang w:val="en-US" w:eastAsia="zh-CN"/>
        </w:rPr>
        <w:t>二是工业贡献持续加大。</w:t>
      </w:r>
      <w:r>
        <w:rPr>
          <w:rFonts w:hint="eastAsia" w:ascii="仿宋_GB2312" w:hAnsi="仿宋_GB2312" w:eastAsia="仿宋_GB2312" w:cs="仿宋_GB2312"/>
          <w:bCs/>
          <w:sz w:val="28"/>
          <w:szCs w:val="28"/>
        </w:rPr>
        <w:t>1-9月制造业增加值占GDP的比重为28.4%，高于去年同期0.9个百分点</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预计全年占比为28.6%，同比提升0.2个百分点</w:t>
      </w:r>
      <w:r>
        <w:rPr>
          <w:rFonts w:hint="eastAsia" w:ascii="仿宋_GB2312" w:hAnsi="仿宋_GB2312" w:eastAsia="仿宋_GB2312" w:cs="仿宋_GB2312"/>
          <w:bCs/>
          <w:sz w:val="28"/>
          <w:szCs w:val="28"/>
          <w:lang w:eastAsia="zh-CN"/>
        </w:rPr>
        <w:t>。1-11月累计完成工业税收21.97亿元，完成制造业税收20.97亿元。</w:t>
      </w:r>
      <w:r>
        <w:rPr>
          <w:rFonts w:hint="eastAsia" w:ascii="仿宋_GB2312" w:hAnsi="仿宋_GB2312" w:eastAsia="仿宋_GB2312" w:cs="仿宋_GB2312"/>
          <w:sz w:val="28"/>
          <w:szCs w:val="28"/>
          <w:highlight w:val="none"/>
          <w:lang w:val="en-US" w:eastAsia="zh-CN"/>
        </w:rPr>
        <w:t>三是主特产业量质齐升。</w:t>
      </w:r>
      <w:r>
        <w:rPr>
          <w:rFonts w:hint="eastAsia" w:ascii="仿宋_GB2312" w:hAnsi="仿宋_GB2312" w:eastAsia="仿宋_GB2312" w:cs="仿宋_GB2312"/>
          <w:color w:val="000000"/>
          <w:sz w:val="28"/>
          <w:szCs w:val="28"/>
        </w:rPr>
        <w:t>围绕“</w:t>
      </w:r>
      <w:r>
        <w:rPr>
          <w:rFonts w:hint="eastAsia" w:ascii="仿宋_GB2312" w:hAnsi="仿宋_GB2312" w:eastAsia="仿宋_GB2312" w:cs="仿宋_GB2312"/>
          <w:bCs/>
          <w:sz w:val="28"/>
          <w:szCs w:val="28"/>
          <w:lang w:val="en-US" w:eastAsia="zh-CN"/>
        </w:rPr>
        <w:t>一特两主</w:t>
      </w:r>
      <w:r>
        <w:rPr>
          <w:rFonts w:hint="eastAsia" w:ascii="仿宋_GB2312" w:hAnsi="仿宋_GB2312" w:eastAsia="仿宋_GB2312" w:cs="仿宋_GB2312"/>
          <w:color w:val="000000"/>
          <w:sz w:val="28"/>
          <w:szCs w:val="28"/>
        </w:rPr>
        <w:t>”产业，着力推动产业链建设，产业链条不断延伸，产业特色不断凸显</w:t>
      </w:r>
      <w:r>
        <w:rPr>
          <w:rFonts w:hint="eastAsia" w:ascii="仿宋_GB2312" w:hAnsi="仿宋_GB2312" w:eastAsia="仿宋_GB2312" w:cs="仿宋_GB2312"/>
          <w:color w:val="000000"/>
          <w:sz w:val="28"/>
          <w:szCs w:val="28"/>
          <w:lang w:eastAsia="zh-CN"/>
        </w:rPr>
        <w:t>，新型合金材料产业集群确定为全省先进制造业集群培育对象。</w:t>
      </w:r>
      <w:r>
        <w:rPr>
          <w:rFonts w:hint="eastAsia" w:ascii="仿宋_GB2312" w:hAnsi="仿宋_GB2312" w:eastAsia="仿宋_GB2312" w:cs="仿宋_GB2312"/>
          <w:bCs/>
          <w:sz w:val="28"/>
          <w:szCs w:val="28"/>
          <w:lang w:val="en-US" w:eastAsia="zh-CN"/>
        </w:rPr>
        <w:t>1-11月全区“一特两主”产业完成规工产值696.25亿元，同比增长8.06%，占全区规工产值的77.6%，拉动全区规工产值增长6.2个百分点。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color w:val="000000"/>
          <w:sz w:val="28"/>
          <w:szCs w:val="28"/>
          <w:lang w:val="en-US" w:eastAsia="zh-CN"/>
        </w:rPr>
        <w:t>（二）企业培育，迈出了“优”的步伐。</w:t>
      </w:r>
      <w:r>
        <w:rPr>
          <w:rFonts w:hint="eastAsia" w:ascii="仿宋_GB2312" w:hAnsi="仿宋_GB2312" w:eastAsia="仿宋_GB2312" w:cs="仿宋_GB2312"/>
          <w:sz w:val="28"/>
          <w:szCs w:val="28"/>
          <w:shd w:val="clear" w:color="auto" w:fill="FFFFFF"/>
        </w:rPr>
        <w:t>将规工企业培育作为稳增长、增动能的重中之重</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highlight w:val="none"/>
          <w:lang w:val="en-US" w:eastAsia="zh-CN"/>
        </w:rPr>
        <w:t>一是“千百十”企业齐头并进。</w:t>
      </w:r>
      <w:r>
        <w:rPr>
          <w:rFonts w:hint="eastAsia" w:ascii="仿宋_GB2312" w:hAnsi="仿宋_GB2312" w:eastAsia="仿宋_GB2312" w:cs="仿宋_GB2312"/>
          <w:b w:val="0"/>
          <w:bCs w:val="0"/>
          <w:color w:val="auto"/>
          <w:sz w:val="28"/>
          <w:szCs w:val="28"/>
          <w:lang w:val="en-US" w:eastAsia="zh-CN"/>
        </w:rPr>
        <w:t>2022年首次营收过百亿元、过50亿元、过10亿元、过亿元企业分别为3家、4家、4家、26家；新增国家级制造业单项冠军1家、</w:t>
      </w:r>
      <w:r>
        <w:rPr>
          <w:rFonts w:hint="eastAsia" w:ascii="仿宋_GB2312" w:hAnsi="仿宋_GB2312" w:eastAsia="仿宋_GB2312" w:cs="仿宋_GB2312"/>
          <w:b w:val="0"/>
          <w:bCs w:val="0"/>
          <w:color w:val="auto"/>
          <w:spacing w:val="-6"/>
          <w:sz w:val="28"/>
          <w:szCs w:val="28"/>
        </w:rPr>
        <w:t>国家级专精特新小巨人</w:t>
      </w:r>
      <w:r>
        <w:rPr>
          <w:rFonts w:hint="eastAsia" w:ascii="仿宋_GB2312" w:hAnsi="仿宋_GB2312" w:eastAsia="仿宋_GB2312" w:cs="仿宋_GB2312"/>
          <w:b w:val="0"/>
          <w:bCs w:val="0"/>
          <w:color w:val="auto"/>
          <w:spacing w:val="-6"/>
          <w:sz w:val="28"/>
          <w:szCs w:val="28"/>
          <w:lang w:val="en-US" w:eastAsia="zh-CN"/>
        </w:rPr>
        <w:t>8家、</w:t>
      </w:r>
      <w:r>
        <w:rPr>
          <w:rFonts w:hint="eastAsia" w:ascii="仿宋_GB2312" w:hAnsi="仿宋_GB2312" w:eastAsia="仿宋_GB2312" w:cs="仿宋_GB2312"/>
          <w:b w:val="0"/>
          <w:bCs w:val="0"/>
          <w:color w:val="auto"/>
          <w:sz w:val="28"/>
          <w:szCs w:val="28"/>
          <w:lang w:val="en-US" w:eastAsia="zh-CN"/>
        </w:rPr>
        <w:t>湖南省消费品工业“三品”标杆企业3家，</w:t>
      </w:r>
      <w:r>
        <w:rPr>
          <w:rFonts w:hint="eastAsia" w:ascii="仿宋_GB2312" w:hAnsi="仿宋_GB2312" w:eastAsia="仿宋_GB2312" w:cs="仿宋_GB2312"/>
          <w:b w:val="0"/>
          <w:bCs w:val="0"/>
          <w:color w:val="auto"/>
          <w:spacing w:val="-6"/>
          <w:sz w:val="28"/>
          <w:szCs w:val="28"/>
          <w:lang w:val="en-US" w:eastAsia="zh-CN"/>
        </w:rPr>
        <w:t>全区</w:t>
      </w:r>
      <w:r>
        <w:rPr>
          <w:rFonts w:hint="eastAsia" w:ascii="仿宋_GB2312" w:hAnsi="仿宋_GB2312" w:eastAsia="仿宋_GB2312" w:cs="仿宋_GB2312"/>
          <w:b w:val="0"/>
          <w:bCs w:val="0"/>
          <w:color w:val="auto"/>
          <w:sz w:val="28"/>
          <w:szCs w:val="28"/>
          <w:lang w:val="en-US" w:eastAsia="zh-CN"/>
        </w:rPr>
        <w:t>优质企业总数达32家</w:t>
      </w:r>
      <w:r>
        <w:rPr>
          <w:rFonts w:hint="eastAsia" w:ascii="仿宋_GB2312" w:hAnsi="仿宋_GB2312" w:eastAsia="仿宋_GB2312" w:cs="仿宋_GB2312"/>
          <w:b w:val="0"/>
          <w:bCs w:val="0"/>
          <w:color w:val="auto"/>
          <w:spacing w:val="-6"/>
          <w:sz w:val="28"/>
          <w:szCs w:val="28"/>
          <w:lang w:eastAsia="zh-CN"/>
        </w:rPr>
        <w:t>；</w:t>
      </w:r>
      <w:r>
        <w:rPr>
          <w:rFonts w:hint="eastAsia" w:ascii="仿宋_GB2312" w:hAnsi="仿宋_GB2312" w:eastAsia="仿宋_GB2312" w:cs="仿宋_GB2312"/>
          <w:b w:val="0"/>
          <w:bCs w:val="0"/>
          <w:color w:val="auto"/>
          <w:spacing w:val="-6"/>
          <w:sz w:val="28"/>
          <w:szCs w:val="28"/>
          <w:lang w:val="en-US" w:eastAsia="zh-CN"/>
        </w:rPr>
        <w:t>新开工10亿元项目5个，新完工10亿元项目4个</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highlight w:val="none"/>
          <w:lang w:val="en-US" w:eastAsia="zh-CN"/>
        </w:rPr>
        <w:t>二是专精特新企业集中成长。</w:t>
      </w:r>
      <w:r>
        <w:rPr>
          <w:rFonts w:hint="eastAsia" w:ascii="仿宋_GB2312" w:hAnsi="仿宋_GB2312" w:eastAsia="仿宋_GB2312" w:cs="仿宋_GB2312"/>
          <w:color w:val="000000"/>
          <w:sz w:val="28"/>
          <w:szCs w:val="28"/>
        </w:rPr>
        <w:t>新增吴赣药业等14家省级“专精特新”中小企业，新增金驰能源等8家国家级专精特新“小巨人”，其中衡开智能入选第三批国家重点“小巨人”。</w:t>
      </w:r>
      <w:r>
        <w:rPr>
          <w:rFonts w:hint="eastAsia" w:ascii="仿宋_GB2312" w:hAnsi="仿宋_GB2312" w:eastAsia="仿宋_GB2312" w:cs="仿宋_GB2312"/>
          <w:sz w:val="28"/>
          <w:szCs w:val="28"/>
          <w:highlight w:val="none"/>
          <w:lang w:val="en-US" w:eastAsia="zh-CN"/>
        </w:rPr>
        <w:t>三是工业入规刷新纪录。</w:t>
      </w:r>
      <w:r>
        <w:rPr>
          <w:rFonts w:hint="eastAsia" w:ascii="仿宋_GB2312" w:hAnsi="仿宋_GB2312" w:eastAsia="仿宋_GB2312" w:cs="仿宋_GB2312"/>
          <w:color w:val="auto"/>
          <w:spacing w:val="-6"/>
          <w:sz w:val="28"/>
          <w:szCs w:val="28"/>
        </w:rPr>
        <w:t>1-11月</w:t>
      </w:r>
      <w:r>
        <w:rPr>
          <w:rFonts w:hint="eastAsia" w:ascii="仿宋_GB2312" w:hAnsi="仿宋_GB2312" w:eastAsia="仿宋_GB2312" w:cs="仿宋_GB2312"/>
          <w:color w:val="auto"/>
          <w:sz w:val="28"/>
          <w:szCs w:val="28"/>
        </w:rPr>
        <w:t>累计新增规模工业企业</w:t>
      </w:r>
      <w:r>
        <w:rPr>
          <w:rFonts w:hint="eastAsia" w:ascii="仿宋_GB2312" w:hAnsi="仿宋_GB2312" w:eastAsia="仿宋_GB2312" w:cs="仿宋_GB2312"/>
          <w:color w:val="auto"/>
          <w:sz w:val="28"/>
          <w:szCs w:val="28"/>
          <w:lang w:val="en-US" w:eastAsia="zh-CN"/>
        </w:rPr>
        <w:t>33</w:t>
      </w:r>
      <w:r>
        <w:rPr>
          <w:rFonts w:hint="eastAsia" w:ascii="仿宋_GB2312" w:hAnsi="仿宋_GB2312" w:eastAsia="仿宋_GB2312" w:cs="仿宋_GB2312"/>
          <w:color w:val="auto"/>
          <w:sz w:val="28"/>
          <w:szCs w:val="28"/>
        </w:rPr>
        <w:t>家，净增</w:t>
      </w:r>
      <w:r>
        <w:rPr>
          <w:rFonts w:hint="eastAsia" w:ascii="仿宋_GB2312" w:hAnsi="仿宋_GB2312" w:eastAsia="仿宋_GB2312" w:cs="仿宋_GB2312"/>
          <w:color w:val="auto"/>
          <w:sz w:val="28"/>
          <w:szCs w:val="28"/>
          <w:lang w:val="en-US" w:eastAsia="zh-CN"/>
        </w:rPr>
        <w:t>27</w:t>
      </w:r>
      <w:r>
        <w:rPr>
          <w:rFonts w:hint="eastAsia" w:ascii="仿宋_GB2312" w:hAnsi="仿宋_GB2312" w:eastAsia="仿宋_GB2312" w:cs="仿宋_GB2312"/>
          <w:color w:val="auto"/>
          <w:sz w:val="28"/>
          <w:szCs w:val="28"/>
        </w:rPr>
        <w:t>家</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预计全年新增58家，净增52家，新增、净增数为历年之最。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000000"/>
          <w:sz w:val="28"/>
          <w:szCs w:val="28"/>
          <w:lang w:val="en-US" w:eastAsia="zh-CN"/>
        </w:rPr>
        <w:t>（三）助企纾困，打出了“真”的组合。</w:t>
      </w:r>
      <w:r>
        <w:rPr>
          <w:rFonts w:hint="eastAsia" w:ascii="仿宋_GB2312" w:hAnsi="仿宋_GB2312" w:eastAsia="仿宋_GB2312" w:cs="仿宋_GB2312"/>
          <w:bCs/>
          <w:sz w:val="28"/>
          <w:szCs w:val="28"/>
          <w:lang w:val="en-US" w:eastAsia="zh-CN"/>
        </w:rPr>
        <w:t>一是真心实意联企业。</w:t>
      </w:r>
      <w:r>
        <w:rPr>
          <w:rFonts w:hint="eastAsia" w:ascii="仿宋_GB2312" w:hAnsi="仿宋_GB2312" w:eastAsia="仿宋_GB2312" w:cs="仿宋_GB2312"/>
          <w:sz w:val="28"/>
          <w:szCs w:val="28"/>
          <w:lang w:val="en-US" w:eastAsia="zh-CN"/>
        </w:rPr>
        <w:t>牵头</w:t>
      </w:r>
      <w:r>
        <w:rPr>
          <w:rFonts w:hint="eastAsia" w:ascii="仿宋_GB2312" w:hAnsi="仿宋_GB2312" w:eastAsia="仿宋_GB2312" w:cs="仿宋_GB2312"/>
          <w:sz w:val="28"/>
          <w:szCs w:val="28"/>
        </w:rPr>
        <w:t>开展</w:t>
      </w:r>
      <w:r>
        <w:rPr>
          <w:rFonts w:hint="eastAsia" w:ascii="仿宋_GB2312" w:hAnsi="仿宋_GB2312" w:eastAsia="仿宋_GB2312" w:cs="仿宋_GB2312"/>
          <w:sz w:val="28"/>
          <w:szCs w:val="28"/>
          <w:lang w:eastAsia="zh-CN"/>
        </w:rPr>
        <w:t>全区</w:t>
      </w:r>
      <w:r>
        <w:rPr>
          <w:rFonts w:hint="eastAsia" w:ascii="仿宋_GB2312" w:hAnsi="仿宋_GB2312" w:eastAsia="仿宋_GB2312" w:cs="仿宋_GB2312"/>
          <w:sz w:val="28"/>
          <w:szCs w:val="28"/>
        </w:rPr>
        <w:t>干部联企“送政策、解难题、优服务”行动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点对点、面对面开展精准帮扶、常态帮扶，创新打造企业“雷锋哨”、供需对接平台，集中解决企业资金、人才用工、用地需求、项目建设、政策兑现等</w:t>
      </w:r>
      <w:r>
        <w:rPr>
          <w:rFonts w:hint="eastAsia" w:ascii="仿宋_GB2312" w:hAnsi="仿宋_GB2312" w:eastAsia="仿宋_GB2312" w:cs="仿宋_GB2312"/>
          <w:sz w:val="28"/>
          <w:szCs w:val="28"/>
          <w:lang w:eastAsia="zh-CN"/>
        </w:rPr>
        <w:t>难题</w:t>
      </w:r>
      <w:r>
        <w:rPr>
          <w:rFonts w:hint="eastAsia" w:ascii="仿宋_GB2312" w:hAnsi="仿宋_GB2312" w:eastAsia="仿宋_GB2312" w:cs="仿宋_GB2312"/>
          <w:sz w:val="28"/>
          <w:szCs w:val="28"/>
        </w:rPr>
        <w:t>。全区共抽调709名干部联点1060家“四上”企业及所有小微企业，</w:t>
      </w:r>
      <w:r>
        <w:rPr>
          <w:rFonts w:hint="eastAsia" w:ascii="仿宋_GB2312" w:hAnsi="仿宋_GB2312" w:eastAsia="仿宋_GB2312" w:cs="仿宋_GB2312"/>
          <w:sz w:val="28"/>
          <w:szCs w:val="28"/>
          <w:lang w:eastAsia="zh-CN"/>
        </w:rPr>
        <w:t>收集办理</w:t>
      </w:r>
      <w:r>
        <w:rPr>
          <w:rFonts w:hint="eastAsia" w:ascii="仿宋_GB2312" w:hAnsi="仿宋_GB2312" w:eastAsia="仿宋_GB2312" w:cs="仿宋_GB2312"/>
          <w:sz w:val="28"/>
          <w:szCs w:val="28"/>
        </w:rPr>
        <w:t>问题1057个。</w:t>
      </w:r>
      <w:r>
        <w:rPr>
          <w:rFonts w:hint="eastAsia" w:ascii="仿宋_GB2312" w:hAnsi="仿宋_GB2312" w:eastAsia="仿宋_GB2312" w:cs="仿宋_GB2312"/>
          <w:bCs/>
          <w:sz w:val="28"/>
          <w:szCs w:val="28"/>
          <w:lang w:val="en-US" w:eastAsia="zh-CN"/>
        </w:rPr>
        <w:t>二是真金白银惠主体。</w:t>
      </w:r>
      <w:r>
        <w:rPr>
          <w:rFonts w:hint="eastAsia" w:ascii="仿宋_GB2312" w:hAnsi="仿宋_GB2312" w:eastAsia="仿宋_GB2312" w:cs="仿宋_GB2312"/>
          <w:sz w:val="28"/>
          <w:szCs w:val="28"/>
          <w:lang w:val="en-US" w:eastAsia="zh-CN"/>
        </w:rPr>
        <w:t>率先省内各区县推出《关于开</w:t>
      </w:r>
      <w:r>
        <w:rPr>
          <w:rFonts w:hint="eastAsia" w:ascii="仿宋_GB2312" w:hAnsi="仿宋_GB2312" w:eastAsia="仿宋_GB2312" w:cs="仿宋_GB2312"/>
          <w:sz w:val="28"/>
          <w:szCs w:val="28"/>
          <w:lang w:eastAsia="zh-CN"/>
        </w:rPr>
        <w:t>展“纾困增效”行动稳定经济运行的若干措施》，精准制定“六补”举措，预计全年补贴资金总量达1.7亿元，较上年度净增9000万元。</w:t>
      </w:r>
      <w:r>
        <w:rPr>
          <w:rFonts w:hint="eastAsia" w:ascii="仿宋_GB2312" w:hAnsi="仿宋_GB2312" w:eastAsia="仿宋_GB2312" w:cs="仿宋_GB2312"/>
          <w:bCs/>
          <w:sz w:val="28"/>
          <w:szCs w:val="28"/>
          <w:lang w:val="en-US" w:eastAsia="zh-CN"/>
        </w:rPr>
        <w:t>三是真抓实干优环境。</w:t>
      </w:r>
      <w:r>
        <w:rPr>
          <w:rFonts w:hint="eastAsia" w:ascii="仿宋_GB2312" w:hAnsi="仿宋_GB2312" w:eastAsia="仿宋_GB2312" w:cs="仿宋_GB2312"/>
          <w:sz w:val="28"/>
          <w:szCs w:val="28"/>
          <w:lang w:eastAsia="zh-CN"/>
        </w:rPr>
        <w:t>简化申报流程，提高服务效率。在</w:t>
      </w:r>
      <w:r>
        <w:rPr>
          <w:rFonts w:hint="eastAsia" w:ascii="仿宋_GB2312" w:hAnsi="仿宋_GB2312" w:eastAsia="仿宋_GB2312" w:cs="仿宋_GB2312"/>
          <w:sz w:val="28"/>
          <w:szCs w:val="28"/>
          <w:lang w:val="en-US" w:eastAsia="zh-CN"/>
        </w:rPr>
        <w:t>2022年</w:t>
      </w:r>
      <w:r>
        <w:rPr>
          <w:rFonts w:hint="eastAsia" w:ascii="仿宋_GB2312" w:hAnsi="仿宋_GB2312" w:eastAsia="仿宋_GB2312" w:cs="仿宋_GB2312"/>
          <w:sz w:val="28"/>
          <w:szCs w:val="28"/>
          <w:lang w:eastAsia="zh-CN"/>
        </w:rPr>
        <w:t>区制造业高质量发展政策奖补中，首次采取了免申即享方式，奖补金额达1879万元，</w:t>
      </w:r>
      <w:r>
        <w:rPr>
          <w:rFonts w:hint="eastAsia" w:ascii="仿宋_GB2312" w:hAnsi="仿宋_GB2312" w:eastAsia="仿宋_GB2312" w:cs="仿宋_GB2312"/>
          <w:sz w:val="28"/>
          <w:szCs w:val="28"/>
          <w:lang w:val="en-US" w:eastAsia="zh-CN"/>
        </w:rPr>
        <w:t>金额</w:t>
      </w:r>
      <w:r>
        <w:rPr>
          <w:rFonts w:hint="eastAsia" w:ascii="仿宋_GB2312" w:hAnsi="仿宋_GB2312" w:eastAsia="仿宋_GB2312" w:cs="仿宋_GB2312"/>
          <w:sz w:val="28"/>
          <w:szCs w:val="28"/>
          <w:lang w:eastAsia="zh-CN"/>
        </w:rPr>
        <w:t>占比约26%。出台《长沙市望城区推动制造业高质量发展的若干政策》，聚焦促增长、促创新、促投资、促转型、提效能，设置发展速度奖、成果转化奖、“两化”融合奖、质量标杆奖等20条奖补政策，预计金额达到</w:t>
      </w:r>
      <w:r>
        <w:rPr>
          <w:rFonts w:hint="eastAsia" w:ascii="仿宋_GB2312" w:hAnsi="仿宋_GB2312" w:eastAsia="仿宋_GB2312" w:cs="仿宋_GB2312"/>
          <w:sz w:val="28"/>
          <w:szCs w:val="28"/>
          <w:lang w:val="en-US" w:eastAsia="zh-CN"/>
        </w:rPr>
        <w:t>9000万元以上</w:t>
      </w:r>
      <w:r>
        <w:rPr>
          <w:rFonts w:hint="eastAsia" w:ascii="仿宋_GB2312" w:hAnsi="仿宋_GB2312" w:eastAsia="仿宋_GB2312" w:cs="仿宋_GB2312"/>
          <w:sz w:val="28"/>
          <w:szCs w:val="28"/>
          <w:lang w:eastAsia="zh-CN"/>
        </w:rPr>
        <w:t>。20条奖补政策46项具体内容中除14项必须经过现场核查和资金核算外，其余32项按照“免申即享”程序兑现，实现了从企业“主动申报”到部门“送资上门”的转变。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color w:val="000000"/>
          <w:sz w:val="28"/>
          <w:szCs w:val="28"/>
          <w:lang w:val="en-US" w:eastAsia="zh-CN"/>
        </w:rPr>
        <w:t>（四）安全稳定，筑牢了“实”的防线。</w:t>
      </w:r>
      <w:r>
        <w:rPr>
          <w:rFonts w:hint="eastAsia" w:ascii="仿宋_GB2312" w:hAnsi="仿宋_GB2312" w:eastAsia="仿宋_GB2312" w:cs="仿宋_GB2312"/>
          <w:sz w:val="28"/>
          <w:szCs w:val="28"/>
          <w:lang w:eastAsia="zh-CN"/>
        </w:rPr>
        <w:t>攻坚克难，坚决守住安全底线。</w:t>
      </w:r>
      <w:r>
        <w:rPr>
          <w:rFonts w:hint="eastAsia" w:ascii="仿宋_GB2312" w:hAnsi="仿宋_GB2312" w:eastAsia="仿宋_GB2312" w:cs="仿宋_GB2312"/>
          <w:sz w:val="28"/>
          <w:szCs w:val="28"/>
          <w:highlight w:val="none"/>
          <w:lang w:val="en-US" w:eastAsia="zh-CN"/>
        </w:rPr>
        <w:t>一是思想之弦时刻绷紧。</w:t>
      </w:r>
      <w:r>
        <w:rPr>
          <w:rFonts w:hint="eastAsia" w:ascii="仿宋_GB2312" w:hAnsi="仿宋_GB2312" w:eastAsia="仿宋_GB2312" w:cs="仿宋_GB2312"/>
          <w:sz w:val="28"/>
          <w:szCs w:val="28"/>
        </w:rPr>
        <w:t>组织工信系统安全生产专题会议，通过观看视频、领学文件、开展</w:t>
      </w:r>
      <w:r>
        <w:rPr>
          <w:rFonts w:hint="eastAsia" w:ascii="仿宋_GB2312" w:hAnsi="仿宋_GB2312" w:eastAsia="仿宋_GB2312" w:cs="仿宋_GB2312"/>
          <w:color w:val="000000"/>
          <w:sz w:val="28"/>
          <w:szCs w:val="28"/>
        </w:rPr>
        <w:t>消防安全培训</w:t>
      </w:r>
      <w:r>
        <w:rPr>
          <w:rFonts w:hint="eastAsia" w:ascii="仿宋_GB2312" w:hAnsi="仿宋_GB2312" w:eastAsia="仿宋_GB2312" w:cs="仿宋_GB2312"/>
          <w:sz w:val="28"/>
          <w:szCs w:val="28"/>
        </w:rPr>
        <w:t>，进一步增强全员安全生产意识，提升安全监管业务水平。</w:t>
      </w:r>
      <w:r>
        <w:rPr>
          <w:rFonts w:hint="eastAsia" w:ascii="仿宋_GB2312" w:hAnsi="仿宋_GB2312" w:eastAsia="仿宋_GB2312" w:cs="仿宋_GB2312"/>
          <w:sz w:val="28"/>
          <w:szCs w:val="28"/>
          <w:highlight w:val="none"/>
          <w:lang w:val="en-US" w:eastAsia="zh-CN"/>
        </w:rPr>
        <w:t>二是隐患排查整治扎实推进。</w:t>
      </w:r>
      <w:r>
        <w:rPr>
          <w:rFonts w:hint="eastAsia" w:ascii="仿宋_GB2312" w:hAnsi="仿宋_GB2312" w:eastAsia="仿宋_GB2312" w:cs="仿宋_GB2312"/>
          <w:sz w:val="28"/>
          <w:szCs w:val="28"/>
        </w:rPr>
        <w:t>结合全区联企行动，统筹做好企业疫情防控、企业建筑隐患排查和安全生产指导。</w:t>
      </w:r>
      <w:r>
        <w:rPr>
          <w:rFonts w:hint="eastAsia" w:ascii="仿宋_GB2312" w:hAnsi="仿宋_GB2312" w:eastAsia="仿宋_GB2312" w:cs="仿宋_GB2312"/>
          <w:sz w:val="28"/>
          <w:szCs w:val="28"/>
          <w:lang w:eastAsia="zh-CN"/>
        </w:rPr>
        <w:t>全局</w:t>
      </w:r>
      <w:r>
        <w:rPr>
          <w:rFonts w:hint="eastAsia" w:ascii="仿宋_GB2312" w:hAnsi="仿宋_GB2312" w:eastAsia="仿宋_GB2312" w:cs="仿宋_GB2312"/>
          <w:sz w:val="28"/>
          <w:szCs w:val="28"/>
        </w:rPr>
        <w:t>开展4次集中走访联点服务活动，涉及14个镇街109家企业，对工信系统所监管的行业全面进行安全生产检查，共消除安全隐患118处。对民机、民船和通信制业三个行业开展安全生产“回头看”，进行现场排查，提出限期整改要求，目前已全部整改到位。</w:t>
      </w:r>
      <w:r>
        <w:rPr>
          <w:rFonts w:hint="eastAsia" w:ascii="仿宋_GB2312" w:hAnsi="仿宋_GB2312" w:eastAsia="仿宋_GB2312" w:cs="仿宋_GB2312"/>
          <w:sz w:val="28"/>
          <w:szCs w:val="28"/>
          <w:highlight w:val="none"/>
          <w:lang w:val="en-US" w:eastAsia="zh-CN"/>
        </w:rPr>
        <w:t>三是防疫物资保障到位。</w:t>
      </w:r>
      <w:r>
        <w:rPr>
          <w:rFonts w:hint="eastAsia" w:ascii="仿宋_GB2312" w:hAnsi="仿宋_GB2312" w:eastAsia="仿宋_GB2312" w:cs="仿宋_GB2312"/>
          <w:sz w:val="28"/>
          <w:szCs w:val="28"/>
        </w:rPr>
        <w:t>作为疫情防控物资保障组牵头单位，</w:t>
      </w:r>
      <w:r>
        <w:rPr>
          <w:rFonts w:hint="eastAsia" w:ascii="仿宋_GB2312" w:hAnsi="仿宋_GB2312" w:eastAsia="仿宋_GB2312" w:cs="仿宋_GB2312"/>
          <w:sz w:val="28"/>
          <w:szCs w:val="28"/>
          <w:highlight w:val="none"/>
        </w:rPr>
        <w:t>已全面完成全区</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批次防疫物资采购，使用采购资金</w:t>
      </w:r>
      <w:r>
        <w:rPr>
          <w:rFonts w:hint="eastAsia" w:ascii="仿宋_GB2312" w:hAnsi="仿宋_GB2312" w:eastAsia="仿宋_GB2312" w:cs="仿宋_GB2312"/>
          <w:sz w:val="28"/>
          <w:szCs w:val="28"/>
          <w:highlight w:val="none"/>
          <w:lang w:val="en-US" w:eastAsia="zh-CN"/>
        </w:rPr>
        <w:t>3000</w:t>
      </w:r>
      <w:r>
        <w:rPr>
          <w:rFonts w:hint="eastAsia" w:ascii="仿宋_GB2312" w:hAnsi="仿宋_GB2312" w:eastAsia="仿宋_GB2312" w:cs="仿宋_GB2312"/>
          <w:sz w:val="28"/>
          <w:szCs w:val="28"/>
          <w:highlight w:val="none"/>
        </w:rPr>
        <w:t>余万元，</w:t>
      </w:r>
      <w:r>
        <w:rPr>
          <w:rFonts w:hint="eastAsia" w:ascii="仿宋_GB2312" w:hAnsi="仿宋_GB2312" w:eastAsia="仿宋_GB2312" w:cs="仿宋_GB2312"/>
          <w:sz w:val="28"/>
          <w:szCs w:val="28"/>
        </w:rPr>
        <w:t>及时保障了疫情防控工作的物资需求，为我区疫情防控工作筑起“金</w:t>
      </w:r>
      <w:r>
        <w:rPr>
          <w:rFonts w:hint="eastAsia" w:ascii="仿宋_GB2312" w:hAnsi="仿宋_GB2312" w:eastAsia="仿宋_GB2312" w:cs="仿宋_GB2312"/>
          <w:sz w:val="28"/>
          <w:szCs w:val="28"/>
          <w:highlight w:val="none"/>
        </w:rPr>
        <w:t>钟罩”。</w:t>
      </w:r>
      <w:r>
        <w:rPr>
          <w:rFonts w:hint="eastAsia" w:ascii="仿宋_GB2312" w:hAnsi="仿宋_GB2312" w:eastAsia="仿宋_GB2312" w:cs="仿宋_GB2312"/>
          <w:sz w:val="28"/>
          <w:szCs w:val="28"/>
          <w:highlight w:val="none"/>
          <w:lang w:val="en-US" w:eastAsia="zh-CN"/>
        </w:rPr>
        <w:t>四是信访积案妥善化解。</w:t>
      </w:r>
      <w:r>
        <w:rPr>
          <w:rFonts w:hint="eastAsia" w:ascii="仿宋_GB2312" w:hAnsi="仿宋_GB2312" w:eastAsia="仿宋_GB2312" w:cs="仿宋_GB2312"/>
          <w:sz w:val="28"/>
          <w:szCs w:val="28"/>
          <w:lang w:val="en-US" w:eastAsia="zh-CN"/>
        </w:rPr>
        <w:t>今年4件信访来</w:t>
      </w:r>
      <w:r>
        <w:rPr>
          <w:rFonts w:hint="eastAsia" w:ascii="仿宋_GB2312" w:hAnsi="仿宋_GB2312" w:eastAsia="仿宋_GB2312" w:cs="仿宋_GB2312"/>
          <w:sz w:val="28"/>
          <w:szCs w:val="28"/>
          <w:highlight w:val="none"/>
          <w:lang w:val="en-US" w:eastAsia="zh-CN"/>
        </w:rPr>
        <w:t>件都已</w:t>
      </w:r>
      <w:r>
        <w:rPr>
          <w:rFonts w:hint="eastAsia" w:ascii="仿宋_GB2312" w:hAnsi="仿宋_GB2312" w:eastAsia="仿宋_GB2312" w:cs="仿宋_GB2312"/>
          <w:sz w:val="28"/>
          <w:szCs w:val="28"/>
          <w:lang w:val="en-US" w:eastAsia="zh-CN"/>
        </w:rPr>
        <w:t>结案，成功化解周春强等2件案件，切实守住信访维稳底线。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color w:val="000000"/>
          <w:sz w:val="28"/>
          <w:szCs w:val="28"/>
          <w:lang w:val="en-US" w:eastAsia="zh-CN"/>
        </w:rPr>
        <w:t>（五）信息化建设，驶入了“快”的车道。</w:t>
      </w:r>
      <w:r>
        <w:rPr>
          <w:rFonts w:hint="eastAsia" w:ascii="仿宋_GB2312" w:hAnsi="仿宋_GB2312" w:eastAsia="仿宋_GB2312" w:cs="仿宋_GB2312"/>
          <w:b w:val="0"/>
          <w:bCs w:val="0"/>
          <w:sz w:val="28"/>
          <w:szCs w:val="28"/>
          <w:highlight w:val="none"/>
          <w:lang w:eastAsia="zh-CN"/>
        </w:rPr>
        <w:t>一是</w:t>
      </w:r>
      <w:r>
        <w:rPr>
          <w:rFonts w:hint="eastAsia" w:ascii="仿宋_GB2312" w:hAnsi="仿宋_GB2312" w:eastAsia="仿宋_GB2312" w:cs="仿宋_GB2312"/>
          <w:b w:val="0"/>
          <w:bCs w:val="0"/>
          <w:sz w:val="28"/>
          <w:szCs w:val="28"/>
          <w:highlight w:val="none"/>
          <w:lang w:val="en-US" w:eastAsia="zh-CN"/>
        </w:rPr>
        <w:t>5G建设超进度完成。</w:t>
      </w:r>
      <w:r>
        <w:rPr>
          <w:rFonts w:hint="eastAsia" w:ascii="仿宋_GB2312" w:hAnsi="仿宋_GB2312" w:eastAsia="仿宋_GB2312" w:cs="仿宋_GB2312"/>
          <w:b w:val="0"/>
          <w:bCs w:val="0"/>
          <w:sz w:val="28"/>
          <w:szCs w:val="28"/>
          <w:highlight w:val="none"/>
        </w:rPr>
        <w:t>截至12月底</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rPr>
        <w:t>全区建设5G基站1269个，年度任务完成率115.36%，连续</w:t>
      </w:r>
      <w:r>
        <w:rPr>
          <w:rFonts w:hint="eastAsia" w:ascii="仿宋_GB2312" w:hAnsi="仿宋_GB2312" w:eastAsia="仿宋_GB2312" w:cs="仿宋_GB2312"/>
          <w:b w:val="0"/>
          <w:bCs w:val="0"/>
          <w:sz w:val="28"/>
          <w:szCs w:val="28"/>
          <w:highlight w:val="none"/>
          <w:lang w:eastAsia="zh-CN"/>
        </w:rPr>
        <w:t>四</w:t>
      </w:r>
      <w:r>
        <w:rPr>
          <w:rFonts w:hint="eastAsia" w:ascii="仿宋_GB2312" w:hAnsi="仿宋_GB2312" w:eastAsia="仿宋_GB2312" w:cs="仿宋_GB2312"/>
          <w:b w:val="0"/>
          <w:bCs w:val="0"/>
          <w:sz w:val="28"/>
          <w:szCs w:val="28"/>
          <w:highlight w:val="none"/>
        </w:rPr>
        <w:t>年排名全市九区县（市）第一名。</w:t>
      </w:r>
      <w:r>
        <w:rPr>
          <w:rFonts w:hint="eastAsia" w:ascii="仿宋_GB2312" w:hAnsi="仿宋_GB2312" w:eastAsia="仿宋_GB2312" w:cs="仿宋_GB2312"/>
          <w:b w:val="0"/>
          <w:bCs w:val="0"/>
          <w:sz w:val="28"/>
          <w:szCs w:val="28"/>
          <w:highlight w:val="none"/>
          <w:lang w:eastAsia="zh-CN"/>
        </w:rPr>
        <w:t>二是数字经济有序增长。1-9月数字经济核心领域增速5.4%，同比增加量2.32亿元；1-11月，全区软件和服务业重点企业主营业务收入9.5亿元，预计全年软件业务收入9.45亿元，两项数据较去年均稳步增长。三是飞线整治效果显著。</w:t>
      </w:r>
      <w:r>
        <w:rPr>
          <w:rFonts w:hint="eastAsia" w:ascii="仿宋_GB2312" w:hAnsi="仿宋_GB2312" w:eastAsia="仿宋_GB2312" w:cs="仿宋_GB2312"/>
          <w:b w:val="0"/>
          <w:bCs w:val="0"/>
          <w:sz w:val="28"/>
          <w:szCs w:val="28"/>
          <w:highlight w:val="none"/>
        </w:rPr>
        <w:t>妥善</w:t>
      </w:r>
      <w:r>
        <w:rPr>
          <w:rFonts w:hint="eastAsia" w:ascii="仿宋_GB2312" w:hAnsi="仿宋_GB2312" w:eastAsia="仿宋_GB2312" w:cs="仿宋_GB2312"/>
          <w:b w:val="0"/>
          <w:bCs w:val="0"/>
          <w:sz w:val="28"/>
          <w:szCs w:val="28"/>
          <w:highlight w:val="none"/>
          <w:lang w:eastAsia="zh-CN"/>
        </w:rPr>
        <w:t>处理12345市民热线</w:t>
      </w:r>
      <w:r>
        <w:rPr>
          <w:rFonts w:hint="eastAsia" w:ascii="仿宋_GB2312" w:hAnsi="仿宋_GB2312" w:eastAsia="仿宋_GB2312" w:cs="仿宋_GB2312"/>
          <w:b w:val="0"/>
          <w:bCs w:val="0"/>
          <w:sz w:val="28"/>
          <w:szCs w:val="28"/>
          <w:highlight w:val="none"/>
          <w:lang w:val="en-US" w:eastAsia="zh-CN"/>
        </w:rPr>
        <w:t>54</w:t>
      </w:r>
      <w:r>
        <w:rPr>
          <w:rFonts w:hint="eastAsia" w:ascii="仿宋_GB2312" w:hAnsi="仿宋_GB2312" w:eastAsia="仿宋_GB2312" w:cs="仿宋_GB2312"/>
          <w:b w:val="0"/>
          <w:bCs w:val="0"/>
          <w:sz w:val="28"/>
          <w:szCs w:val="28"/>
          <w:highlight w:val="none"/>
          <w:lang w:eastAsia="zh-CN"/>
        </w:rPr>
        <w:t>件、雷锋哨工单</w:t>
      </w:r>
      <w:r>
        <w:rPr>
          <w:rFonts w:hint="eastAsia" w:ascii="仿宋_GB2312" w:hAnsi="仿宋_GB2312" w:eastAsia="仿宋_GB2312" w:cs="仿宋_GB2312"/>
          <w:b w:val="0"/>
          <w:bCs w:val="0"/>
          <w:sz w:val="28"/>
          <w:szCs w:val="28"/>
          <w:highlight w:val="none"/>
          <w:lang w:val="en-US" w:eastAsia="zh-CN"/>
        </w:rPr>
        <w:t>340</w:t>
      </w:r>
      <w:r>
        <w:rPr>
          <w:rFonts w:hint="eastAsia" w:ascii="仿宋_GB2312" w:hAnsi="仿宋_GB2312" w:eastAsia="仿宋_GB2312" w:cs="仿宋_GB2312"/>
          <w:b w:val="0"/>
          <w:bCs w:val="0"/>
          <w:sz w:val="28"/>
          <w:szCs w:val="28"/>
          <w:highlight w:val="none"/>
          <w:lang w:eastAsia="zh-CN"/>
        </w:rPr>
        <w:t>件和城管平台工单30件，持续整治通信线缆凌乱、设施缺失等问题。牵头抓好靖格线雷锋大道交汇处空中缆线零乱问题整改，协调各运营商开展“百街千巷”提质改造弱电整治行动，整改进度达到100%。四是</w:t>
      </w:r>
      <w:r>
        <w:rPr>
          <w:rFonts w:hint="eastAsia" w:ascii="仿宋_GB2312" w:hAnsi="仿宋_GB2312" w:eastAsia="仿宋_GB2312" w:cs="仿宋_GB2312"/>
          <w:b w:val="0"/>
          <w:bCs w:val="0"/>
          <w:sz w:val="28"/>
          <w:szCs w:val="28"/>
          <w:highlight w:val="none"/>
        </w:rPr>
        <w:t>通信网络明显优化</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rPr>
        <w:t>持续改善通信</w:t>
      </w:r>
      <w:r>
        <w:rPr>
          <w:rFonts w:hint="eastAsia" w:ascii="仿宋_GB2312" w:hAnsi="仿宋_GB2312" w:eastAsia="仿宋_GB2312" w:cs="仿宋_GB2312"/>
          <w:b w:val="0"/>
          <w:bCs w:val="0"/>
          <w:sz w:val="28"/>
          <w:szCs w:val="28"/>
          <w:highlight w:val="none"/>
          <w:lang w:eastAsia="zh-CN"/>
        </w:rPr>
        <w:t>网络，</w:t>
      </w:r>
      <w:r>
        <w:rPr>
          <w:rFonts w:hint="eastAsia" w:ascii="仿宋_GB2312" w:hAnsi="仿宋_GB2312" w:eastAsia="仿宋_GB2312" w:cs="仿宋_GB2312"/>
          <w:b w:val="0"/>
          <w:bCs w:val="0"/>
          <w:sz w:val="28"/>
          <w:szCs w:val="28"/>
          <w:highlight w:val="none"/>
        </w:rPr>
        <w:t>督促运营商做好铜官园区通信信号整改，协调电信公司处理好大华集团员工宿舍、食堂等地区信号薄弱问题</w:t>
      </w:r>
      <w:r>
        <w:rPr>
          <w:rFonts w:hint="eastAsia" w:ascii="仿宋_GB2312" w:hAnsi="仿宋_GB2312" w:eastAsia="仿宋_GB2312" w:cs="仿宋_GB2312"/>
          <w:b w:val="0"/>
          <w:bCs w:val="0"/>
          <w:sz w:val="28"/>
          <w:szCs w:val="28"/>
          <w:highlight w:val="none"/>
          <w:lang w:eastAsia="zh-CN"/>
        </w:rPr>
        <w:t>，</w:t>
      </w:r>
      <w:r>
        <w:rPr>
          <w:rFonts w:hint="eastAsia" w:ascii="仿宋_GB2312" w:hAnsi="仿宋_GB2312" w:eastAsia="仿宋_GB2312" w:cs="仿宋_GB2312"/>
          <w:b w:val="0"/>
          <w:bCs w:val="0"/>
          <w:sz w:val="28"/>
          <w:szCs w:val="28"/>
          <w:highlight w:val="none"/>
        </w:rPr>
        <w:t>重点做好全年各大活动如旅发大会、</w:t>
      </w:r>
      <w:r>
        <w:rPr>
          <w:rFonts w:hint="eastAsia" w:ascii="仿宋_GB2312" w:hAnsi="仿宋_GB2312" w:eastAsia="仿宋_GB2312" w:cs="仿宋_GB2312"/>
          <w:b w:val="0"/>
          <w:bCs w:val="0"/>
          <w:sz w:val="28"/>
          <w:szCs w:val="28"/>
          <w:highlight w:val="none"/>
          <w:lang w:eastAsia="zh-CN"/>
        </w:rPr>
        <w:t>区</w:t>
      </w:r>
      <w:r>
        <w:rPr>
          <w:rFonts w:hint="eastAsia" w:ascii="仿宋_GB2312" w:hAnsi="仿宋_GB2312" w:eastAsia="仿宋_GB2312" w:cs="仿宋_GB2312"/>
          <w:b w:val="0"/>
          <w:bCs w:val="0"/>
          <w:sz w:val="28"/>
          <w:szCs w:val="28"/>
          <w:highlight w:val="none"/>
        </w:rPr>
        <w:t>两会等现场通信保障。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both"/>
        <w:textAlignment w:val="auto"/>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（六）困难企业，维护了“稳”的局面。</w:t>
      </w:r>
      <w:r>
        <w:rPr>
          <w:rFonts w:hint="eastAsia" w:ascii="仿宋_GB2312" w:hAnsi="仿宋_GB2312" w:eastAsia="仿宋_GB2312" w:cs="仿宋_GB2312"/>
          <w:b w:val="0"/>
          <w:bCs w:val="0"/>
          <w:sz w:val="28"/>
          <w:szCs w:val="28"/>
          <w:highlight w:val="none"/>
          <w:lang w:val="en-US" w:eastAsia="zh-CN"/>
        </w:rPr>
        <w:t>切实做好铜官陶瓷总公司、联社等特困企业、改制企业的下岗职工、困难职工服务工作以及老旧房屋安全维护工作。</w:t>
      </w:r>
      <w:r>
        <w:rPr>
          <w:rFonts w:hint="eastAsia" w:ascii="仿宋_GB2312" w:hAnsi="仿宋_GB2312" w:eastAsia="仿宋_GB2312" w:cs="仿宋_GB2312"/>
          <w:sz w:val="28"/>
          <w:szCs w:val="28"/>
          <w:lang w:val="en-US" w:eastAsia="zh-CN"/>
        </w:rPr>
        <w:t>一是</w:t>
      </w:r>
      <w:r>
        <w:rPr>
          <w:rFonts w:hint="eastAsia" w:ascii="仿宋_GB2312" w:hAnsi="仿宋_GB2312" w:eastAsia="仿宋_GB2312" w:cs="仿宋_GB2312"/>
          <w:sz w:val="28"/>
          <w:szCs w:val="28"/>
          <w:lang w:eastAsia="zh-CN"/>
        </w:rPr>
        <w:t>推动公房整治工作。及时妥善做好铜陶公司、联社等下属老旧公房安全隐患排查整治工作，修缮房屋</w:t>
      </w:r>
      <w:r>
        <w:rPr>
          <w:rFonts w:hint="eastAsia" w:ascii="仿宋_GB2312" w:hAnsi="仿宋_GB2312" w:eastAsia="仿宋_GB2312" w:cs="仿宋_GB2312"/>
          <w:sz w:val="28"/>
          <w:szCs w:val="28"/>
          <w:lang w:val="en-US" w:eastAsia="zh-CN"/>
        </w:rPr>
        <w:t>55</w:t>
      </w:r>
      <w:r>
        <w:rPr>
          <w:rFonts w:hint="eastAsia" w:ascii="仿宋_GB2312" w:hAnsi="仿宋_GB2312" w:eastAsia="仿宋_GB2312" w:cs="仿宋_GB2312"/>
          <w:sz w:val="28"/>
          <w:szCs w:val="28"/>
          <w:lang w:eastAsia="zh-CN"/>
        </w:rPr>
        <w:t>处，应急拆除7处。从</w:t>
      </w:r>
      <w:r>
        <w:rPr>
          <w:rFonts w:hint="eastAsia" w:ascii="仿宋_GB2312" w:hAnsi="仿宋_GB2312" w:eastAsia="仿宋_GB2312" w:cs="仿宋_GB2312"/>
          <w:sz w:val="28"/>
          <w:szCs w:val="28"/>
          <w:lang w:val="en-US" w:eastAsia="zh-CN"/>
        </w:rPr>
        <w:t>2022年5月以来，</w:t>
      </w:r>
      <w:r>
        <w:rPr>
          <w:rFonts w:hint="eastAsia" w:ascii="仿宋_GB2312" w:hAnsi="仿宋_GB2312" w:eastAsia="仿宋_GB2312" w:cs="仿宋_GB2312"/>
          <w:sz w:val="28"/>
          <w:szCs w:val="28"/>
          <w:lang w:eastAsia="zh-CN"/>
        </w:rPr>
        <w:t>联合</w:t>
      </w:r>
      <w:r>
        <w:rPr>
          <w:rFonts w:hint="eastAsia" w:ascii="仿宋_GB2312" w:hAnsi="仿宋_GB2312" w:eastAsia="仿宋_GB2312" w:cs="仿宋_GB2312"/>
          <w:sz w:val="28"/>
          <w:szCs w:val="28"/>
        </w:rPr>
        <w:t>住建、资规、国资、铜官工业园、铜官街道</w:t>
      </w:r>
      <w:r>
        <w:rPr>
          <w:rFonts w:hint="eastAsia" w:ascii="仿宋_GB2312" w:hAnsi="仿宋_GB2312" w:eastAsia="仿宋_GB2312" w:cs="仿宋_GB2312"/>
          <w:sz w:val="28"/>
          <w:szCs w:val="28"/>
          <w:lang w:eastAsia="zh-CN"/>
        </w:rPr>
        <w:t>等相关单位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对铜陶公司所属资产及周边进行了“地毯式”的安全隐患排查和鉴定，共排查地质灾害隐患6处，人防设施隐患6处，排查房屋226处，鉴定门店房屋35处、厂房12处，总鉴定面积3.15万平方米，现已拆除危房7处，封闭危房110处，整改危房5处</w:t>
      </w:r>
      <w:r>
        <w:rPr>
          <w:rFonts w:hint="eastAsia" w:ascii="仿宋_GB2312" w:hAnsi="仿宋_GB2312" w:eastAsia="仿宋_GB2312" w:cs="仿宋_GB2312"/>
          <w:sz w:val="28"/>
          <w:szCs w:val="28"/>
        </w:rPr>
        <w:t>，保障</w:t>
      </w:r>
      <w:r>
        <w:rPr>
          <w:rFonts w:hint="eastAsia" w:ascii="仿宋_GB2312" w:hAnsi="仿宋_GB2312" w:eastAsia="仿宋_GB2312" w:cs="仿宋_GB2312"/>
          <w:sz w:val="28"/>
          <w:szCs w:val="28"/>
          <w:lang w:eastAsia="zh-CN"/>
        </w:rPr>
        <w:t>了</w:t>
      </w:r>
      <w:r>
        <w:rPr>
          <w:rFonts w:hint="eastAsia" w:ascii="仿宋_GB2312" w:hAnsi="仿宋_GB2312" w:eastAsia="仿宋_GB2312" w:cs="仿宋_GB2312"/>
          <w:sz w:val="28"/>
          <w:szCs w:val="28"/>
        </w:rPr>
        <w:t>租赁企业和临近居民的正常生产生活</w:t>
      </w:r>
      <w:r>
        <w:rPr>
          <w:rFonts w:hint="eastAsia" w:ascii="仿宋_GB2312" w:hAnsi="仿宋_GB2312" w:eastAsia="仿宋_GB2312" w:cs="仿宋_GB2312"/>
          <w:sz w:val="28"/>
          <w:szCs w:val="28"/>
          <w:lang w:eastAsia="zh-CN"/>
        </w:rPr>
        <w:t>。二是全力保障职工权益。</w:t>
      </w:r>
      <w:r>
        <w:rPr>
          <w:rFonts w:hint="eastAsia" w:ascii="仿宋_GB2312" w:hAnsi="仿宋_GB2312" w:eastAsia="仿宋_GB2312" w:cs="仿宋_GB2312"/>
          <w:sz w:val="28"/>
          <w:szCs w:val="28"/>
          <w:lang w:val="en-US" w:eastAsia="zh-CN"/>
        </w:rPr>
        <w:t>联社对本系统20家企业的未退休职工近500人，全面实行提前个人建档，优化职工退休手续办理程序，提升群众满意度。</w:t>
      </w:r>
      <w:r>
        <w:rPr>
          <w:rFonts w:hint="eastAsia" w:ascii="仿宋_GB2312" w:hAnsi="仿宋_GB2312" w:eastAsia="仿宋_GB2312" w:cs="仿宋_GB2312"/>
          <w:sz w:val="28"/>
          <w:szCs w:val="28"/>
        </w:rPr>
        <w:t>协助铜陶公司解决社保欠费问题，争取减免</w:t>
      </w:r>
      <w:r>
        <w:rPr>
          <w:rFonts w:hint="eastAsia" w:ascii="仿宋_GB2312" w:hAnsi="仿宋_GB2312" w:eastAsia="仿宋_GB2312" w:cs="仿宋_GB2312"/>
          <w:sz w:val="28"/>
          <w:szCs w:val="28"/>
          <w:lang w:eastAsia="zh-CN"/>
        </w:rPr>
        <w:t>职工</w:t>
      </w:r>
      <w:r>
        <w:rPr>
          <w:rFonts w:hint="eastAsia" w:ascii="仿宋_GB2312" w:hAnsi="仿宋_GB2312" w:eastAsia="仿宋_GB2312" w:cs="仿宋_GB2312"/>
          <w:sz w:val="28"/>
          <w:szCs w:val="28"/>
        </w:rPr>
        <w:t>社保、医保滞纳金，比照市国资委下属企业滞纳金处理模式进行妥善处理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2022年</w:t>
      </w:r>
      <w:r>
        <w:rPr>
          <w:rFonts w:hint="eastAsia" w:ascii="仿宋_GB2312" w:hAnsi="仿宋_GB2312" w:eastAsia="仿宋_GB2312" w:cs="仿宋_GB2312"/>
          <w:sz w:val="28"/>
          <w:szCs w:val="28"/>
        </w:rPr>
        <w:t>铜陶公司办理职工退休112人、养老保险缴费714.39万元，确保了职工的正常退休，维护了下岗职工队伍的稳定</w:t>
      </w:r>
      <w:r>
        <w:rPr>
          <w:rFonts w:hint="eastAsia" w:ascii="仿宋_GB2312" w:hAnsi="仿宋_GB2312" w:eastAsia="仿宋_GB2312" w:cs="仿宋_GB2312"/>
          <w:sz w:val="28"/>
          <w:szCs w:val="28"/>
          <w:lang w:eastAsia="zh-CN"/>
        </w:rPr>
        <w:t>。</w:t>
      </w:r>
    </w:p>
    <w:p>
      <w:pPr>
        <w:pStyle w:val="7"/>
        <w:widowControl/>
        <w:spacing w:line="600" w:lineRule="exact"/>
        <w:ind w:left="640" w:firstLine="0"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、存在的问题及原因分析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1、预算编制工作有待细化。预算编制不够明确和细化，预算执行力度还要进一步加强。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2、项目申报流程不够科学，可操作性不强。应严把申报条件和关口。</w:t>
      </w:r>
    </w:p>
    <w:p>
      <w:pPr>
        <w:widowControl/>
        <w:spacing w:line="6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、下一步改进措施</w:t>
      </w:r>
    </w:p>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1、强化预算管理。加强预算法制化观念，结合往年实际及各种可控因素，科学拟定明确、细化、量化、可考核的年度绩效目标，严格执行预算安排，确保各项经费有章可循 。</w:t>
      </w:r>
    </w:p>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完善工作机制。结合新出台的产业奖补政策，根据项目申报范围，进一步细化项目申报指南，明确项目申报条件、奖励标准、需提交的资料、责任单位、受理科室及联系人等，确保项目申报规范严谨、可操作性强。</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大督查力度。当前，我局专项资金数额较大且受益企业多、分散广，为加大监督管理，一方面，对专项资金进行。不定期抽查,确保项目资金专款专用；另一方面，自觉接受区财政、审计、监察、纪委等部门的巡回检查，对利用虚假材料和凭证骗取专项资金的企业（单位）追回已取得的专项资金，记入企业诚信记录。</w:t>
      </w: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lang w:eastAsia="zh-CN"/>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长沙市望城区工业和信息化局</w:t>
      </w:r>
    </w:p>
    <w:p>
      <w:pPr>
        <w:jc w:val="center"/>
        <w:rPr>
          <w:rFonts w:hint="eastAsia" w:ascii="仿宋_GB2312" w:hAnsi="仿宋_GB2312" w:eastAsia="仿宋_GB2312" w:cs="仿宋_GB2312"/>
          <w:sz w:val="28"/>
          <w:szCs w:val="28"/>
          <w:lang w:val="en-US" w:eastAsia="zh-CN"/>
        </w:rPr>
        <w:sectPr>
          <w:footerReference r:id="rId5" w:type="default"/>
          <w:footerReference r:id="rId6"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hAnsi="仿宋_GB2312" w:cs="仿宋_GB2312"/>
          <w:sz w:val="28"/>
          <w:szCs w:val="28"/>
          <w:lang w:val="en-US" w:eastAsia="zh-CN"/>
        </w:rPr>
        <w:t>日</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 w:hAnsi="仿宋" w:eastAsia="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DDFF1"/>
    <w:multiLevelType w:val="singleLevel"/>
    <w:tmpl w:val="FDBDDFF1"/>
    <w:lvl w:ilvl="0" w:tentative="0">
      <w:start w:val="2"/>
      <w:numFmt w:val="chineseCounting"/>
      <w:suff w:val="nothing"/>
      <w:lvlText w:val="%1、"/>
      <w:lvlJc w:val="left"/>
      <w:rPr>
        <w:rFonts w:hint="eastAsia"/>
      </w:rPr>
    </w:lvl>
  </w:abstractNum>
  <w:abstractNum w:abstractNumId="1">
    <w:nsid w:val="5C144C37"/>
    <w:multiLevelType w:val="singleLevel"/>
    <w:tmpl w:val="5C144C3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jFlMzgxNDIwOTY2Y2RhZDhmMGUwOGM5MmMyY2QifQ=="/>
  </w:docVars>
  <w:rsids>
    <w:rsidRoot w:val="75F3751A"/>
    <w:rsid w:val="00D03706"/>
    <w:rsid w:val="08E212DC"/>
    <w:rsid w:val="19156889"/>
    <w:rsid w:val="1C796AA9"/>
    <w:rsid w:val="1D136C5C"/>
    <w:rsid w:val="20E70C06"/>
    <w:rsid w:val="283010E5"/>
    <w:rsid w:val="2EF35FAE"/>
    <w:rsid w:val="3FA0183A"/>
    <w:rsid w:val="3FDF1217"/>
    <w:rsid w:val="542B75C4"/>
    <w:rsid w:val="550A5E31"/>
    <w:rsid w:val="582474D5"/>
    <w:rsid w:val="6444389E"/>
    <w:rsid w:val="6D035033"/>
    <w:rsid w:val="70343755"/>
    <w:rsid w:val="75F3751A"/>
    <w:rsid w:val="7D6C358D"/>
    <w:rsid w:val="7F630D99"/>
    <w:rsid w:val="7F826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textAlignment w:val="auto"/>
    </w:pPr>
    <w:rPr>
      <w:rFonts w:cs="Arial"/>
      <w:szCs w:val="22"/>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4188</Words>
  <Characters>4445</Characters>
  <Lines>0</Lines>
  <Paragraphs>0</Paragraphs>
  <TotalTime>3</TotalTime>
  <ScaleCrop>false</ScaleCrop>
  <LinksUpToDate>false</LinksUpToDate>
  <CharactersWithSpaces>4498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2023-02-17T05:43:00Z</dcterms:created>
  <dc:creator>Administrator</dc:creator>
  <cp:lastModifiedBy>Administrator</cp:lastModifiedBy>
  <cp:lastPrinted>2023-02-20T03:17:00Z</cp:lastPrinted>
  <dcterms:modified xsi:type="dcterms:W3CDTF">2023-09-28T02:34:36Z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E755FC9039374F77A20FDD7D97E0CA30</vt:lpwstr>
  </property>
</Properties>
</file>