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61" w:rsidRDefault="006E3261" w:rsidP="006E3261">
      <w:pPr>
        <w:jc w:val="left"/>
        <w:rPr>
          <w:rFonts w:ascii="黑体" w:eastAsia="黑体" w:hAnsi="黑体" w:cs="黑体"/>
          <w:kern w:val="0"/>
        </w:rPr>
      </w:pPr>
      <w:r>
        <w:rPr>
          <w:rFonts w:ascii="黑体" w:eastAsia="黑体" w:hAnsi="黑体" w:cs="黑体" w:hint="eastAsia"/>
          <w:kern w:val="0"/>
        </w:rPr>
        <w:t>附件3</w:t>
      </w:r>
    </w:p>
    <w:p w:rsidR="006E3261" w:rsidRDefault="006E3261" w:rsidP="006E3261">
      <w:pPr>
        <w:spacing w:line="600" w:lineRule="exact"/>
        <w:jc w:val="center"/>
        <w:rPr>
          <w:rFonts w:ascii="Times New Roman" w:eastAsia="方正小标宋简体" w:hAnsi="Times New Roman"/>
          <w:sz w:val="36"/>
          <w:szCs w:val="36"/>
        </w:rPr>
      </w:pPr>
    </w:p>
    <w:p w:rsidR="00AA37CF" w:rsidRPr="00AA37CF" w:rsidRDefault="006E3261" w:rsidP="006E3261">
      <w:pPr>
        <w:spacing w:line="600" w:lineRule="exact"/>
        <w:jc w:val="center"/>
        <w:rPr>
          <w:rFonts w:ascii="仿宋" w:eastAsia="仿宋" w:hAnsi="仿宋" w:cs="方正小标宋_GBK"/>
          <w:b/>
          <w:sz w:val="36"/>
          <w:szCs w:val="36"/>
        </w:rPr>
      </w:pPr>
      <w:r w:rsidRPr="00AA37CF">
        <w:rPr>
          <w:rFonts w:ascii="仿宋" w:eastAsia="仿宋" w:hAnsi="仿宋" w:cs="仿宋" w:hint="eastAsia"/>
          <w:b/>
          <w:sz w:val="36"/>
          <w:szCs w:val="36"/>
        </w:rPr>
        <w:t>2019</w:t>
      </w:r>
      <w:r w:rsidRPr="00AA37CF">
        <w:rPr>
          <w:rFonts w:ascii="仿宋" w:eastAsia="仿宋" w:hAnsi="仿宋" w:cs="方正小标宋_GBK" w:hint="eastAsia"/>
          <w:b/>
          <w:sz w:val="36"/>
          <w:szCs w:val="36"/>
        </w:rPr>
        <w:t>年度</w:t>
      </w:r>
      <w:r w:rsidR="00AA37CF" w:rsidRPr="00AA37CF">
        <w:rPr>
          <w:rFonts w:ascii="仿宋" w:eastAsia="仿宋" w:hAnsi="仿宋" w:cs="仿宋" w:hint="eastAsia"/>
          <w:b/>
          <w:sz w:val="36"/>
          <w:szCs w:val="36"/>
        </w:rPr>
        <w:t>铜</w:t>
      </w:r>
      <w:r w:rsidR="00AA37CF" w:rsidRPr="00AA37CF">
        <w:rPr>
          <w:rFonts w:ascii="仿宋" w:eastAsia="仿宋" w:hAnsi="仿宋" w:hint="eastAsia"/>
          <w:b/>
          <w:sz w:val="36"/>
          <w:szCs w:val="36"/>
        </w:rPr>
        <w:t>官工业</w:t>
      </w:r>
      <w:r w:rsidR="00AA37CF" w:rsidRPr="00AA37CF">
        <w:rPr>
          <w:rFonts w:ascii="仿宋" w:eastAsia="仿宋" w:hAnsi="仿宋"/>
          <w:b/>
          <w:sz w:val="36"/>
          <w:szCs w:val="36"/>
        </w:rPr>
        <w:t>园</w:t>
      </w:r>
      <w:r w:rsidRPr="00AA37CF">
        <w:rPr>
          <w:rFonts w:ascii="仿宋" w:eastAsia="仿宋" w:hAnsi="仿宋" w:cs="方正小标宋_GBK" w:hint="eastAsia"/>
          <w:b/>
          <w:sz w:val="36"/>
          <w:szCs w:val="36"/>
        </w:rPr>
        <w:t>部门整体支出预算绩效</w:t>
      </w:r>
    </w:p>
    <w:p w:rsidR="0016130A" w:rsidRDefault="006E3261" w:rsidP="0016130A">
      <w:pPr>
        <w:spacing w:line="600" w:lineRule="exact"/>
        <w:jc w:val="center"/>
        <w:rPr>
          <w:rFonts w:ascii="仿宋" w:eastAsia="仿宋" w:hAnsi="仿宋"/>
          <w:b/>
          <w:sz w:val="36"/>
          <w:szCs w:val="36"/>
        </w:rPr>
      </w:pPr>
      <w:r w:rsidRPr="00AA37CF">
        <w:rPr>
          <w:rFonts w:ascii="仿宋" w:eastAsia="仿宋" w:hAnsi="仿宋"/>
          <w:b/>
          <w:sz w:val="36"/>
          <w:szCs w:val="36"/>
        </w:rPr>
        <w:t>自评报告</w:t>
      </w:r>
    </w:p>
    <w:p w:rsidR="006E3261" w:rsidRPr="00AA37CF" w:rsidRDefault="0016130A" w:rsidP="0016130A">
      <w:pPr>
        <w:spacing w:line="600" w:lineRule="exact"/>
        <w:ind w:firstLineChars="100" w:firstLine="361"/>
        <w:jc w:val="left"/>
        <w:rPr>
          <w:rFonts w:ascii="仿宋" w:eastAsia="仿宋" w:hAnsi="仿宋"/>
          <w:b/>
          <w:sz w:val="36"/>
          <w:szCs w:val="36"/>
        </w:rPr>
      </w:pPr>
      <w:r>
        <w:rPr>
          <w:rFonts w:ascii="仿宋" w:eastAsia="仿宋" w:hAnsi="仿宋" w:hint="eastAsia"/>
          <w:b/>
          <w:sz w:val="36"/>
          <w:szCs w:val="36"/>
        </w:rPr>
        <w:t>一</w:t>
      </w:r>
      <w:r>
        <w:rPr>
          <w:rFonts w:ascii="仿宋" w:eastAsia="仿宋" w:hAnsi="仿宋"/>
          <w:b/>
          <w:sz w:val="36"/>
          <w:szCs w:val="36"/>
        </w:rPr>
        <w:t>、</w:t>
      </w:r>
      <w:r w:rsidR="00AA37CF" w:rsidRPr="00AA37CF">
        <w:rPr>
          <w:rFonts w:ascii="Times New Roman" w:eastAsia="黑体" w:hAnsi="Times New Roman"/>
          <w:sz w:val="30"/>
        </w:rPr>
        <w:t>部</w:t>
      </w:r>
      <w:r w:rsidR="00AA37CF" w:rsidRPr="00AA37CF">
        <w:rPr>
          <w:rFonts w:ascii="Times New Roman" w:eastAsia="黑体" w:hAnsi="Times New Roman" w:hint="eastAsia"/>
          <w:sz w:val="30"/>
        </w:rPr>
        <w:t>门</w:t>
      </w:r>
      <w:r w:rsidR="006E3261" w:rsidRPr="00AA37CF">
        <w:rPr>
          <w:rFonts w:ascii="Times New Roman" w:eastAsia="黑体" w:hAnsi="Times New Roman"/>
          <w:sz w:val="30"/>
        </w:rPr>
        <w:t>基本情况</w:t>
      </w:r>
    </w:p>
    <w:p w:rsidR="00AA37CF" w:rsidRDefault="00AA37CF" w:rsidP="0016130A">
      <w:pPr>
        <w:widowControl/>
        <w:ind w:firstLineChars="100" w:firstLine="320"/>
        <w:jc w:val="left"/>
        <w:rPr>
          <w:rFonts w:hint="eastAsia"/>
        </w:rPr>
      </w:pPr>
      <w:r>
        <w:rPr>
          <w:rFonts w:hint="eastAsia"/>
        </w:rPr>
        <w:t>铜官循环经济工业园单位性质为全额拨款事业单位，机关编制人数为21人，实有在职在编人数18人，政府雇员12人，单位公务车辆1台。</w:t>
      </w:r>
      <w:r w:rsidRPr="00AA37CF">
        <w:rPr>
          <w:rFonts w:hAnsi="宋体" w:cs="仿宋_GB2312"/>
          <w:color w:val="000000"/>
          <w:kern w:val="0"/>
          <w:sz w:val="31"/>
          <w:szCs w:val="31"/>
          <w:lang w:bidi="ar"/>
        </w:rPr>
        <w:t>内设 1</w:t>
      </w:r>
      <w:r w:rsidRPr="00AA37CF">
        <w:rPr>
          <w:rFonts w:hAnsi="宋体" w:cs="仿宋_GB2312" w:hint="eastAsia"/>
          <w:color w:val="000000"/>
          <w:kern w:val="0"/>
          <w:sz w:val="31"/>
          <w:szCs w:val="31"/>
          <w:lang w:bidi="ar"/>
        </w:rPr>
        <w:t>0</w:t>
      </w:r>
      <w:r w:rsidRPr="00AA37CF">
        <w:rPr>
          <w:rFonts w:hAnsi="宋体" w:cs="仿宋_GB2312"/>
          <w:color w:val="000000"/>
          <w:kern w:val="0"/>
          <w:sz w:val="31"/>
          <w:szCs w:val="31"/>
          <w:lang w:bidi="ar"/>
        </w:rPr>
        <w:t xml:space="preserve"> 个部门，下设 2 个公司：</w:t>
      </w:r>
      <w:r w:rsidRPr="00AA37CF">
        <w:rPr>
          <w:rFonts w:hAnsi="宋体" w:cs="仿宋_GB2312" w:hint="eastAsia"/>
          <w:color w:val="000000"/>
          <w:kern w:val="0"/>
          <w:sz w:val="31"/>
          <w:szCs w:val="31"/>
          <w:lang w:bidi="ar"/>
        </w:rPr>
        <w:t>办公室、党群工作处、产业发展处（加挂企业服务中心、安全环保所）、招商合作处、投融资管理处（加挂长沙市望城区望联建设开发有限公司）、财务处、规划建设处、社会事务处、监察室、望城经济开发区铜官循环经济工业基地投资开发建设有限公司。</w:t>
      </w:r>
    </w:p>
    <w:p w:rsidR="006E3261" w:rsidRDefault="006E3261" w:rsidP="006E3261">
      <w:pPr>
        <w:spacing w:line="600" w:lineRule="exact"/>
        <w:ind w:firstLineChars="200" w:firstLine="600"/>
        <w:rPr>
          <w:rFonts w:ascii="Times New Roman" w:eastAsia="黑体" w:hAnsi="Times New Roman"/>
          <w:sz w:val="30"/>
        </w:rPr>
      </w:pPr>
      <w:r>
        <w:rPr>
          <w:rFonts w:ascii="Times New Roman" w:eastAsia="黑体" w:hAnsi="Times New Roman"/>
          <w:sz w:val="30"/>
        </w:rPr>
        <w:t>二</w:t>
      </w:r>
      <w:r w:rsidR="00483A52">
        <w:rPr>
          <w:rFonts w:ascii="Times New Roman" w:eastAsia="黑体" w:hAnsi="Times New Roman"/>
          <w:sz w:val="30"/>
        </w:rPr>
        <w:t>、部门</w:t>
      </w:r>
      <w:r>
        <w:rPr>
          <w:rFonts w:ascii="Times New Roman" w:eastAsia="黑体" w:hAnsi="Times New Roman"/>
          <w:sz w:val="30"/>
        </w:rPr>
        <w:t>预算管理及执行情况</w:t>
      </w:r>
    </w:p>
    <w:p w:rsidR="00483A52" w:rsidRPr="00483A52" w:rsidRDefault="0016130A" w:rsidP="0016130A">
      <w:pPr>
        <w:widowControl/>
        <w:spacing w:line="600" w:lineRule="exact"/>
        <w:ind w:firstLineChars="196" w:firstLine="630"/>
        <w:jc w:val="left"/>
        <w:rPr>
          <w:rFonts w:ascii="Times New Roman" w:eastAsia="黑体" w:hAnsi="Times New Roman"/>
          <w:bCs/>
          <w:kern w:val="0"/>
        </w:rPr>
      </w:pPr>
      <w:r w:rsidRPr="0016130A">
        <w:rPr>
          <w:rFonts w:ascii="Times New Roman" w:hAnsi="Times New Roman"/>
          <w:b/>
        </w:rPr>
        <w:t>1</w:t>
      </w:r>
      <w:r w:rsidRPr="0016130A">
        <w:rPr>
          <w:rFonts w:ascii="Times New Roman" w:hAnsi="Times New Roman" w:hint="eastAsia"/>
          <w:b/>
        </w:rPr>
        <w:t>、</w:t>
      </w:r>
      <w:r w:rsidRPr="0016130A">
        <w:rPr>
          <w:rFonts w:ascii="Times New Roman" w:hAnsi="Times New Roman" w:hint="eastAsia"/>
          <w:b/>
        </w:rPr>
        <w:t>2019</w:t>
      </w:r>
      <w:r w:rsidRPr="0016130A">
        <w:rPr>
          <w:rFonts w:ascii="Times New Roman" w:hAnsi="Times New Roman" w:hint="eastAsia"/>
          <w:b/>
        </w:rPr>
        <w:t>年</w:t>
      </w:r>
      <w:r w:rsidR="00483A52" w:rsidRPr="00483A52">
        <w:rPr>
          <w:rFonts w:ascii="Times New Roman" w:hAnsi="Times New Roman"/>
          <w:b/>
        </w:rPr>
        <w:t>收入</w:t>
      </w:r>
      <w:r w:rsidRPr="0016130A">
        <w:rPr>
          <w:rFonts w:ascii="Times New Roman" w:hAnsi="Times New Roman" w:hint="eastAsia"/>
          <w:b/>
        </w:rPr>
        <w:t>支</w:t>
      </w:r>
      <w:r w:rsidRPr="0016130A">
        <w:rPr>
          <w:rFonts w:ascii="Times New Roman" w:hAnsi="Times New Roman"/>
          <w:b/>
        </w:rPr>
        <w:t>出</w:t>
      </w:r>
      <w:r w:rsidR="00483A52" w:rsidRPr="00483A52">
        <w:rPr>
          <w:rFonts w:ascii="Times New Roman" w:hAnsi="Times New Roman"/>
          <w:b/>
        </w:rPr>
        <w:t>预算</w:t>
      </w:r>
      <w:r>
        <w:rPr>
          <w:rFonts w:ascii="Times New Roman" w:hAnsi="Times New Roman" w:hint="eastAsia"/>
        </w:rPr>
        <w:t>。</w:t>
      </w:r>
      <w:r w:rsidR="00483A52" w:rsidRPr="00483A52">
        <w:rPr>
          <w:rFonts w:ascii="Times New Roman" w:hAnsi="Times New Roman" w:hint="eastAsia"/>
          <w:b/>
        </w:rPr>
        <w:t>2019</w:t>
      </w:r>
      <w:r w:rsidR="00483A52" w:rsidRPr="00483A52">
        <w:rPr>
          <w:rFonts w:ascii="Times New Roman" w:hAnsi="Times New Roman"/>
          <w:b/>
        </w:rPr>
        <w:t>年年初预算</w:t>
      </w:r>
      <w:r w:rsidRPr="0016130A">
        <w:rPr>
          <w:rFonts w:ascii="Times New Roman" w:hAnsi="Times New Roman" w:hint="eastAsia"/>
          <w:b/>
        </w:rPr>
        <w:t>收</w:t>
      </w:r>
      <w:r w:rsidRPr="0016130A">
        <w:rPr>
          <w:rFonts w:ascii="Times New Roman" w:hAnsi="Times New Roman"/>
          <w:b/>
        </w:rPr>
        <w:t>入</w:t>
      </w:r>
      <w:r w:rsidR="00483A52" w:rsidRPr="00483A52">
        <w:rPr>
          <w:rFonts w:ascii="Times New Roman" w:hAnsi="Times New Roman"/>
          <w:b/>
        </w:rPr>
        <w:t>数</w:t>
      </w:r>
      <w:r w:rsidR="00483A52" w:rsidRPr="00483A52">
        <w:rPr>
          <w:rFonts w:ascii="Times New Roman" w:hAnsi="Times New Roman" w:hint="eastAsia"/>
        </w:rPr>
        <w:t>42829.12</w:t>
      </w:r>
      <w:r w:rsidR="00483A52" w:rsidRPr="00483A52">
        <w:rPr>
          <w:rFonts w:ascii="Times New Roman" w:hAnsi="Times New Roman"/>
        </w:rPr>
        <w:t>万元，其中一般公共预算拨款</w:t>
      </w:r>
      <w:r w:rsidR="00483A52" w:rsidRPr="00483A52">
        <w:rPr>
          <w:rFonts w:ascii="Times New Roman" w:hAnsi="Times New Roman" w:hint="eastAsia"/>
        </w:rPr>
        <w:t>2829.12</w:t>
      </w:r>
      <w:r w:rsidR="00483A52" w:rsidRPr="00483A52">
        <w:rPr>
          <w:rFonts w:ascii="Times New Roman" w:hAnsi="Times New Roman"/>
        </w:rPr>
        <w:t>万元</w:t>
      </w:r>
      <w:r w:rsidR="00483A52" w:rsidRPr="00483A52">
        <w:rPr>
          <w:rFonts w:ascii="Times New Roman" w:hAnsi="Times New Roman" w:hint="eastAsia"/>
        </w:rPr>
        <w:t>、</w:t>
      </w:r>
      <w:r w:rsidR="00483A52" w:rsidRPr="00483A52">
        <w:rPr>
          <w:rFonts w:ascii="Times New Roman" w:hAnsi="Times New Roman"/>
        </w:rPr>
        <w:t>政府性基金</w:t>
      </w:r>
      <w:r w:rsidR="00483A52" w:rsidRPr="00483A52">
        <w:rPr>
          <w:rFonts w:ascii="Times New Roman" w:hAnsi="Times New Roman" w:hint="eastAsia"/>
        </w:rPr>
        <w:t>预算</w:t>
      </w:r>
      <w:r w:rsidR="00483A52" w:rsidRPr="00483A52">
        <w:rPr>
          <w:rFonts w:ascii="Times New Roman" w:hAnsi="Times New Roman"/>
        </w:rPr>
        <w:t>拨款</w:t>
      </w:r>
      <w:r w:rsidR="00483A52" w:rsidRPr="00483A52">
        <w:rPr>
          <w:rFonts w:ascii="Times New Roman" w:hAnsi="Times New Roman" w:hint="eastAsia"/>
        </w:rPr>
        <w:t>40000</w:t>
      </w:r>
      <w:r w:rsidR="00483A52" w:rsidRPr="00483A52">
        <w:rPr>
          <w:rFonts w:ascii="Times New Roman" w:hAnsi="Times New Roman"/>
        </w:rPr>
        <w:t>万。</w:t>
      </w:r>
      <w:r w:rsidR="00483A52" w:rsidRPr="00483A52">
        <w:rPr>
          <w:rFonts w:ascii="Times New Roman" w:hAnsi="Times New Roman" w:hint="eastAsia"/>
        </w:rPr>
        <w:t>预算收入较去年增加</w:t>
      </w:r>
      <w:r w:rsidR="00483A52" w:rsidRPr="00483A52">
        <w:rPr>
          <w:rFonts w:ascii="Times New Roman" w:hAnsi="Times New Roman" w:hint="eastAsia"/>
        </w:rPr>
        <w:t>4007.78</w:t>
      </w:r>
      <w:r w:rsidR="00483A52" w:rsidRPr="00483A52">
        <w:rPr>
          <w:rFonts w:ascii="Times New Roman" w:hAnsi="Times New Roman" w:hint="eastAsia"/>
        </w:rPr>
        <w:t>万元，主要系政府性基金收入增加。</w:t>
      </w:r>
      <w:r w:rsidRPr="0016130A">
        <w:rPr>
          <w:rFonts w:ascii="Times New Roman" w:eastAsia="黑体" w:hAnsi="Times New Roman" w:hint="eastAsia"/>
          <w:b/>
          <w:bCs/>
          <w:kern w:val="0"/>
        </w:rPr>
        <w:t>2</w:t>
      </w:r>
      <w:r w:rsidRPr="0016130A">
        <w:rPr>
          <w:rFonts w:ascii="Times New Roman" w:eastAsia="黑体" w:hAnsi="Times New Roman"/>
          <w:b/>
          <w:bCs/>
          <w:kern w:val="0"/>
        </w:rPr>
        <w:t>019</w:t>
      </w:r>
      <w:r w:rsidRPr="0016130A">
        <w:rPr>
          <w:rFonts w:ascii="Times New Roman" w:eastAsia="黑体" w:hAnsi="Times New Roman" w:hint="eastAsia"/>
          <w:b/>
          <w:bCs/>
          <w:kern w:val="0"/>
        </w:rPr>
        <w:t>年</w:t>
      </w:r>
      <w:r w:rsidR="00483A52" w:rsidRPr="00483A52">
        <w:rPr>
          <w:rFonts w:ascii="Times New Roman" w:hAnsi="Times New Roman"/>
          <w:b/>
        </w:rPr>
        <w:t>支出预算</w:t>
      </w:r>
      <w:r w:rsidR="00483A52" w:rsidRPr="00483A52">
        <w:rPr>
          <w:rFonts w:ascii="Times New Roman" w:hAnsi="Times New Roman" w:hint="eastAsia"/>
        </w:rPr>
        <w:t>：</w:t>
      </w:r>
      <w:r w:rsidR="00483A52" w:rsidRPr="00483A52">
        <w:rPr>
          <w:rFonts w:ascii="Times New Roman" w:hAnsi="Times New Roman" w:hint="eastAsia"/>
        </w:rPr>
        <w:t>2019</w:t>
      </w:r>
      <w:r w:rsidR="00483A52" w:rsidRPr="00483A52">
        <w:rPr>
          <w:rFonts w:ascii="Times New Roman" w:hAnsi="Times New Roman"/>
        </w:rPr>
        <w:t>年年初预算数</w:t>
      </w:r>
      <w:r w:rsidR="00483A52" w:rsidRPr="00483A52">
        <w:rPr>
          <w:rFonts w:ascii="Times New Roman" w:hAnsi="Times New Roman" w:hint="eastAsia"/>
        </w:rPr>
        <w:t>42829.12</w:t>
      </w:r>
      <w:r w:rsidR="00483A52" w:rsidRPr="00483A52">
        <w:rPr>
          <w:rFonts w:ascii="Times New Roman" w:hAnsi="Times New Roman"/>
        </w:rPr>
        <w:t>万元，其中</w:t>
      </w:r>
      <w:r w:rsidR="00483A52" w:rsidRPr="00483A52">
        <w:rPr>
          <w:rFonts w:ascii="Times New Roman" w:hAnsi="Times New Roman" w:hint="eastAsia"/>
        </w:rPr>
        <w:t>基本支出</w:t>
      </w:r>
      <w:r w:rsidR="00483A52" w:rsidRPr="00483A52">
        <w:rPr>
          <w:rFonts w:ascii="Times New Roman" w:hAnsi="Times New Roman" w:hint="eastAsia"/>
        </w:rPr>
        <w:t>229.12</w:t>
      </w:r>
      <w:r w:rsidR="00483A52" w:rsidRPr="00483A52">
        <w:rPr>
          <w:rFonts w:ascii="Times New Roman" w:hAnsi="Times New Roman"/>
        </w:rPr>
        <w:t>万元，</w:t>
      </w:r>
      <w:r w:rsidR="00483A52" w:rsidRPr="00483A52">
        <w:rPr>
          <w:rFonts w:ascii="Times New Roman" w:hAnsi="Times New Roman" w:hint="eastAsia"/>
        </w:rPr>
        <w:t>专项支出</w:t>
      </w:r>
      <w:r w:rsidR="00483A52" w:rsidRPr="00483A52">
        <w:rPr>
          <w:rFonts w:ascii="Times New Roman" w:hAnsi="Times New Roman" w:hint="eastAsia"/>
        </w:rPr>
        <w:t>42600</w:t>
      </w:r>
      <w:r w:rsidR="00483A52" w:rsidRPr="00483A52">
        <w:rPr>
          <w:rFonts w:ascii="Times New Roman" w:hAnsi="Times New Roman" w:hint="eastAsia"/>
        </w:rPr>
        <w:t>万元，较去年增加</w:t>
      </w:r>
      <w:r w:rsidR="00483A52" w:rsidRPr="00483A52">
        <w:rPr>
          <w:rFonts w:ascii="Times New Roman" w:hAnsi="Times New Roman" w:hint="eastAsia"/>
        </w:rPr>
        <w:t>4007.78</w:t>
      </w:r>
      <w:r w:rsidR="00483A52" w:rsidRPr="00483A52">
        <w:rPr>
          <w:rFonts w:ascii="Times New Roman" w:hAnsi="Times New Roman" w:hint="eastAsia"/>
        </w:rPr>
        <w:t>万元，主要是基础设施建设投入加大。</w:t>
      </w:r>
    </w:p>
    <w:p w:rsidR="00483A52" w:rsidRPr="00483A52" w:rsidRDefault="00483A52" w:rsidP="00483A52">
      <w:pPr>
        <w:ind w:firstLineChars="200" w:firstLine="643"/>
      </w:pPr>
      <w:r w:rsidRPr="00483A52">
        <w:rPr>
          <w:rFonts w:hint="eastAsia"/>
          <w:b/>
          <w:bCs/>
        </w:rPr>
        <w:t>2</w:t>
      </w:r>
      <w:r w:rsidRPr="00483A52">
        <w:rPr>
          <w:b/>
          <w:bCs/>
        </w:rPr>
        <w:t>、</w:t>
      </w:r>
      <w:r w:rsidRPr="00483A52">
        <w:rPr>
          <w:rFonts w:hint="eastAsia"/>
          <w:b/>
          <w:bCs/>
        </w:rPr>
        <w:t>2019年收入支出决算数</w:t>
      </w:r>
      <w:r w:rsidRPr="00483A52">
        <w:rPr>
          <w:b/>
          <w:bCs/>
        </w:rPr>
        <w:t>。</w:t>
      </w:r>
      <w:r w:rsidRPr="00483A52">
        <w:t>201</w:t>
      </w:r>
      <w:r w:rsidRPr="00483A52">
        <w:rPr>
          <w:rFonts w:hint="eastAsia"/>
        </w:rPr>
        <w:t>9</w:t>
      </w:r>
      <w:r w:rsidRPr="00483A52">
        <w:t>年度财政拨款收入</w:t>
      </w:r>
      <w:r w:rsidRPr="00483A52">
        <w:rPr>
          <w:rFonts w:hint="eastAsia"/>
        </w:rPr>
        <w:t>决算数</w:t>
      </w:r>
      <w:r w:rsidR="00CB7D74">
        <w:rPr>
          <w:rFonts w:asciiTheme="minorEastAsia" w:eastAsiaTheme="minorEastAsia" w:hAnsiTheme="minorEastAsia" w:hint="eastAsia"/>
        </w:rPr>
        <w:t>22464.26</w:t>
      </w:r>
      <w:r w:rsidR="00CB7D74">
        <w:t>万元</w:t>
      </w:r>
      <w:r w:rsidRPr="00483A52">
        <w:t>；</w:t>
      </w:r>
      <w:r w:rsidRPr="00483A52">
        <w:rPr>
          <w:rFonts w:hint="eastAsia"/>
        </w:rPr>
        <w:t>2019年支出决算数</w:t>
      </w:r>
      <w:r w:rsidR="00CB7D74">
        <w:rPr>
          <w:rFonts w:asciiTheme="minorEastAsia" w:eastAsiaTheme="minorEastAsia" w:hAnsiTheme="minorEastAsia" w:hint="eastAsia"/>
        </w:rPr>
        <w:t>22307.72</w:t>
      </w:r>
      <w:r w:rsidRPr="00483A52">
        <w:rPr>
          <w:rFonts w:hint="eastAsia"/>
        </w:rPr>
        <w:t>万元，其</w:t>
      </w:r>
      <w:r w:rsidRPr="00483A52">
        <w:rPr>
          <w:rFonts w:hint="eastAsia"/>
        </w:rPr>
        <w:lastRenderedPageBreak/>
        <w:t>中：</w:t>
      </w:r>
      <w:r w:rsidRPr="00483A52">
        <w:t>基本支出</w:t>
      </w:r>
      <w:r w:rsidR="00AB3323">
        <w:t>425.63</w:t>
      </w:r>
      <w:r w:rsidRPr="00483A52">
        <w:t>万元，项目支出</w:t>
      </w:r>
      <w:r w:rsidR="00AB3323">
        <w:t>21882.09</w:t>
      </w:r>
      <w:r w:rsidRPr="00483A52">
        <w:t>万元</w:t>
      </w:r>
      <w:r w:rsidRPr="00483A52">
        <w:rPr>
          <w:rFonts w:hint="eastAsia"/>
        </w:rPr>
        <w:t>；年末结转结余</w:t>
      </w:r>
      <w:r w:rsidR="00AB3323">
        <w:rPr>
          <w:rFonts w:hint="eastAsia"/>
        </w:rPr>
        <w:t>531.39</w:t>
      </w:r>
      <w:r w:rsidRPr="00483A52">
        <w:rPr>
          <w:rFonts w:hint="eastAsia"/>
        </w:rPr>
        <w:t>万元</w:t>
      </w:r>
      <w:r w:rsidRPr="00483A52">
        <w:t>。</w:t>
      </w:r>
    </w:p>
    <w:p w:rsidR="00483A52" w:rsidRPr="00483A52" w:rsidRDefault="00483A52" w:rsidP="00483A52">
      <w:pPr>
        <w:widowControl/>
        <w:spacing w:line="600" w:lineRule="exact"/>
        <w:ind w:firstLineChars="200" w:firstLine="643"/>
        <w:jc w:val="left"/>
      </w:pPr>
      <w:r w:rsidRPr="00483A52">
        <w:rPr>
          <w:rFonts w:hint="eastAsia"/>
          <w:b/>
          <w:bCs/>
        </w:rPr>
        <w:t>3、</w:t>
      </w:r>
      <w:r w:rsidRPr="00483A52">
        <w:rPr>
          <w:b/>
          <w:bCs/>
        </w:rPr>
        <w:t>财政拨款支出决算结构情况。</w:t>
      </w:r>
      <w:r w:rsidRPr="00483A52">
        <w:t>财政拨款本年支出</w:t>
      </w:r>
      <w:r w:rsidR="008E6D20">
        <w:rPr>
          <w:rFonts w:hint="eastAsia"/>
        </w:rPr>
        <w:t>422307.72</w:t>
      </w:r>
      <w:r w:rsidRPr="00483A52">
        <w:t>万元。按功能分类，一般公共服务支出</w:t>
      </w:r>
      <w:r w:rsidR="008E6D20">
        <w:rPr>
          <w:rFonts w:hint="eastAsia"/>
        </w:rPr>
        <w:t>7820.37</w:t>
      </w:r>
      <w:r w:rsidRPr="00483A52">
        <w:t>万元，占比</w:t>
      </w:r>
      <w:r w:rsidR="008E6D20">
        <w:t>35.06</w:t>
      </w:r>
      <w:r w:rsidRPr="00483A52">
        <w:t>%；</w:t>
      </w:r>
      <w:r w:rsidR="008E6D20">
        <w:rPr>
          <w:rFonts w:hint="eastAsia"/>
        </w:rPr>
        <w:t>科学技术</w:t>
      </w:r>
      <w:r w:rsidR="008E6D20">
        <w:t>支出</w:t>
      </w:r>
      <w:r w:rsidR="008E6D20">
        <w:rPr>
          <w:rFonts w:hint="eastAsia"/>
        </w:rPr>
        <w:t>693.15</w:t>
      </w:r>
      <w:r w:rsidRPr="00483A52">
        <w:t>万元，占比</w:t>
      </w:r>
      <w:r w:rsidR="008E6D20">
        <w:rPr>
          <w:rFonts w:hint="eastAsia"/>
        </w:rPr>
        <w:t>3.11</w:t>
      </w:r>
      <w:r w:rsidRPr="00483A52">
        <w:t>%；</w:t>
      </w:r>
      <w:r w:rsidR="008E6D20">
        <w:rPr>
          <w:rFonts w:hint="eastAsia"/>
        </w:rPr>
        <w:t>节能</w:t>
      </w:r>
      <w:r w:rsidR="008E6D20">
        <w:t>环保</w:t>
      </w:r>
      <w:r w:rsidRPr="00483A52">
        <w:t>支出</w:t>
      </w:r>
      <w:r w:rsidR="008E6D20">
        <w:t>40</w:t>
      </w:r>
      <w:r w:rsidRPr="00483A52">
        <w:t>万元，占比</w:t>
      </w:r>
      <w:r w:rsidR="008E6D20">
        <w:t>0.18</w:t>
      </w:r>
      <w:r w:rsidRPr="00483A52">
        <w:t>%；</w:t>
      </w:r>
      <w:r w:rsidR="008E6D20">
        <w:rPr>
          <w:rFonts w:hint="eastAsia"/>
        </w:rPr>
        <w:t>城</w:t>
      </w:r>
      <w:r w:rsidR="008E6D20">
        <w:t>乡社区</w:t>
      </w:r>
      <w:r w:rsidRPr="00483A52">
        <w:t>支出</w:t>
      </w:r>
      <w:r w:rsidR="008E6D20">
        <w:t>13276.87</w:t>
      </w:r>
      <w:r w:rsidRPr="00483A52">
        <w:t>万元，占比</w:t>
      </w:r>
      <w:r w:rsidR="008E6D20">
        <w:t>59.52</w:t>
      </w:r>
      <w:r w:rsidRPr="00483A52">
        <w:t>%</w:t>
      </w:r>
      <w:r w:rsidR="008E6D20">
        <w:rPr>
          <w:rFonts w:hint="eastAsia"/>
        </w:rPr>
        <w:t>；</w:t>
      </w:r>
      <w:r w:rsidR="008E6D20">
        <w:t>农林水支出</w:t>
      </w:r>
      <w:r w:rsidR="008E6D20">
        <w:rPr>
          <w:rFonts w:hint="eastAsia"/>
        </w:rPr>
        <w:t>121.33万</w:t>
      </w:r>
      <w:r w:rsidR="008E6D20">
        <w:t>元，占比</w:t>
      </w:r>
      <w:r w:rsidR="008E6D20">
        <w:rPr>
          <w:rFonts w:hint="eastAsia"/>
        </w:rPr>
        <w:t>0.54%；</w:t>
      </w:r>
      <w:r w:rsidR="008E6D20">
        <w:t>交通运输支出</w:t>
      </w:r>
      <w:r w:rsidR="008E6D20">
        <w:rPr>
          <w:rFonts w:hint="eastAsia"/>
        </w:rPr>
        <w:t>200万元</w:t>
      </w:r>
      <w:r w:rsidR="008E6D20">
        <w:t>，占比</w:t>
      </w:r>
      <w:r w:rsidR="008E6D20">
        <w:rPr>
          <w:rFonts w:hint="eastAsia"/>
        </w:rPr>
        <w:t>0.9%；</w:t>
      </w:r>
      <w:r w:rsidR="008E6D20">
        <w:t>资源勘探信息支</w:t>
      </w:r>
      <w:r w:rsidR="008E6D20">
        <w:rPr>
          <w:rFonts w:hint="eastAsia"/>
        </w:rPr>
        <w:t>出151万</w:t>
      </w:r>
      <w:r w:rsidR="008E6D20">
        <w:t>元，占比</w:t>
      </w:r>
      <w:r w:rsidR="008E6D20">
        <w:rPr>
          <w:rFonts w:hint="eastAsia"/>
        </w:rPr>
        <w:t>0.68%；</w:t>
      </w:r>
      <w:r w:rsidR="008E6D20">
        <w:t>商业服务业等支出</w:t>
      </w:r>
      <w:r w:rsidR="008E6D20">
        <w:rPr>
          <w:rFonts w:hint="eastAsia"/>
        </w:rPr>
        <w:t>5万</w:t>
      </w:r>
      <w:r w:rsidR="008E6D20">
        <w:t>元，占比</w:t>
      </w:r>
      <w:r w:rsidR="008E6D20">
        <w:rPr>
          <w:rFonts w:hint="eastAsia"/>
        </w:rPr>
        <w:t>0.01%。</w:t>
      </w:r>
      <w:r w:rsidRPr="00483A52">
        <w:t>按支出性质和经济分类，基本支出</w:t>
      </w:r>
      <w:r w:rsidR="008E6D20">
        <w:rPr>
          <w:rFonts w:hint="eastAsia"/>
        </w:rPr>
        <w:t>425.63</w:t>
      </w:r>
      <w:r w:rsidRPr="00483A52">
        <w:t>万元，占比</w:t>
      </w:r>
      <w:r w:rsidR="008E6D20">
        <w:rPr>
          <w:rFonts w:hint="eastAsia"/>
        </w:rPr>
        <w:t>1.91</w:t>
      </w:r>
      <w:r w:rsidRPr="00483A52">
        <w:t>%</w:t>
      </w:r>
      <w:r w:rsidRPr="00483A52">
        <w:rPr>
          <w:rFonts w:hint="eastAsia"/>
        </w:rPr>
        <w:t>，</w:t>
      </w:r>
      <w:r w:rsidRPr="00483A52">
        <w:t>包括用于基本工资、津贴补贴等人员经费以及办公费、印刷费、水电费、办公设备购置等公用经费；项目支出</w:t>
      </w:r>
      <w:r w:rsidR="008E6D20">
        <w:t>21882.09</w:t>
      </w:r>
      <w:r w:rsidRPr="00483A52">
        <w:t>万元，占比</w:t>
      </w:r>
      <w:r w:rsidR="008E6D20">
        <w:t>98.09</w:t>
      </w:r>
      <w:r w:rsidRPr="00483A52">
        <w:t>%。</w:t>
      </w:r>
    </w:p>
    <w:p w:rsidR="008E6D20" w:rsidRPr="0016130A" w:rsidRDefault="00483A52" w:rsidP="0016130A">
      <w:pPr>
        <w:pStyle w:val="Default"/>
        <w:ind w:firstLineChars="300" w:firstLine="723"/>
        <w:rPr>
          <w:rFonts w:ascii="仿宋_GB2312" w:eastAsia="仿宋_GB2312" w:hAnsi="Calibri" w:cs="Times New Roman"/>
          <w:b/>
          <w:bCs/>
          <w:color w:val="auto"/>
          <w:kern w:val="2"/>
          <w:sz w:val="32"/>
          <w:szCs w:val="32"/>
        </w:rPr>
      </w:pPr>
      <w:r w:rsidRPr="00483A52">
        <w:rPr>
          <w:rFonts w:hint="eastAsia"/>
          <w:b/>
          <w:bCs/>
        </w:rPr>
        <w:t>4</w:t>
      </w:r>
      <w:r w:rsidRPr="00483A52">
        <w:rPr>
          <w:rFonts w:ascii="仿宋_GB2312" w:eastAsia="仿宋_GB2312" w:hAnsi="Calibri" w:cs="Times New Roman" w:hint="eastAsia"/>
          <w:b/>
          <w:bCs/>
          <w:color w:val="auto"/>
          <w:kern w:val="2"/>
          <w:sz w:val="32"/>
          <w:szCs w:val="32"/>
        </w:rPr>
        <w:t>、</w:t>
      </w:r>
      <w:r w:rsidR="008E6D20" w:rsidRPr="0016130A">
        <w:rPr>
          <w:rFonts w:ascii="仿宋_GB2312" w:eastAsia="仿宋_GB2312" w:hAnsi="Calibri" w:cs="Times New Roman" w:hint="eastAsia"/>
          <w:b/>
          <w:bCs/>
          <w:color w:val="auto"/>
          <w:kern w:val="2"/>
          <w:sz w:val="32"/>
          <w:szCs w:val="32"/>
        </w:rPr>
        <w:t>政府性基金预算收入支出决算情况</w:t>
      </w:r>
    </w:p>
    <w:p w:rsidR="008E6D20" w:rsidRDefault="008E6D20" w:rsidP="008E6D20">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2019年度政府性基金预算财政拨款收入13276.87万元；支出13276.87万元，其中基本支出0万元，项目支出13276.87万元。</w:t>
      </w:r>
    </w:p>
    <w:p w:rsidR="00483A52" w:rsidRPr="00483A52" w:rsidRDefault="00483A52" w:rsidP="00483A52">
      <w:pPr>
        <w:ind w:firstLineChars="200" w:firstLine="643"/>
      </w:pPr>
      <w:r w:rsidRPr="00483A52">
        <w:rPr>
          <w:rFonts w:hint="eastAsia"/>
          <w:b/>
          <w:bCs/>
        </w:rPr>
        <w:t>5</w:t>
      </w:r>
      <w:r w:rsidRPr="00483A52">
        <w:rPr>
          <w:b/>
          <w:bCs/>
        </w:rPr>
        <w:t>、</w:t>
      </w:r>
      <w:r w:rsidRPr="00483A52">
        <w:rPr>
          <w:b/>
          <w:bCs/>
        </w:rPr>
        <w:t>“</w:t>
      </w:r>
      <w:r w:rsidRPr="00483A52">
        <w:rPr>
          <w:b/>
          <w:bCs/>
        </w:rPr>
        <w:t>三公</w:t>
      </w:r>
      <w:r w:rsidRPr="00483A52">
        <w:rPr>
          <w:b/>
          <w:bCs/>
        </w:rPr>
        <w:t>”</w:t>
      </w:r>
      <w:r w:rsidRPr="00483A52">
        <w:rPr>
          <w:b/>
          <w:bCs/>
        </w:rPr>
        <w:t>经费支出情况。</w:t>
      </w:r>
      <w:r w:rsidRPr="00483A52">
        <w:t>“</w:t>
      </w:r>
      <w:r w:rsidRPr="00483A52">
        <w:t>三公</w:t>
      </w:r>
      <w:r w:rsidRPr="00483A52">
        <w:t>”</w:t>
      </w:r>
      <w:r w:rsidRPr="00483A52">
        <w:t>经费支出合计</w:t>
      </w:r>
      <w:r w:rsidR="008E6D20">
        <w:rPr>
          <w:rFonts w:hint="eastAsia"/>
        </w:rPr>
        <w:t>5.45</w:t>
      </w:r>
      <w:r w:rsidRPr="00483A52">
        <w:t>万元，同比</w:t>
      </w:r>
      <w:r w:rsidR="00913504">
        <w:rPr>
          <w:rFonts w:hint="eastAsia"/>
        </w:rPr>
        <w:t>增长10.1</w:t>
      </w:r>
      <w:r w:rsidRPr="00483A52">
        <w:t>%。分项为：因公出国（境）费支出为0万元；公务用车运行维护费支出</w:t>
      </w:r>
      <w:r w:rsidR="00913504">
        <w:rPr>
          <w:rFonts w:hint="eastAsia"/>
        </w:rPr>
        <w:t>3.65</w:t>
      </w:r>
      <w:r w:rsidRPr="00483A52">
        <w:t>万元</w:t>
      </w:r>
      <w:r w:rsidR="00913504">
        <w:rPr>
          <w:rFonts w:hint="eastAsia"/>
        </w:rPr>
        <w:t>，</w:t>
      </w:r>
      <w:r w:rsidR="00913504">
        <w:t>同比增长</w:t>
      </w:r>
      <w:r w:rsidR="00913504">
        <w:rPr>
          <w:rFonts w:hint="eastAsia"/>
        </w:rPr>
        <w:t>39.73%</w:t>
      </w:r>
      <w:r w:rsidRPr="00483A52">
        <w:t>；公务接待费支出</w:t>
      </w:r>
      <w:r w:rsidR="00913504">
        <w:rPr>
          <w:rFonts w:hint="eastAsia"/>
        </w:rPr>
        <w:t>1.8</w:t>
      </w:r>
      <w:r w:rsidRPr="00483A52">
        <w:t>万元，同比降低</w:t>
      </w:r>
      <w:r w:rsidR="00913504">
        <w:t>34.55</w:t>
      </w:r>
      <w:r w:rsidRPr="00483A52">
        <w:t>%。</w:t>
      </w:r>
    </w:p>
    <w:p w:rsidR="006E3261" w:rsidRDefault="006E3261" w:rsidP="006E3261">
      <w:pPr>
        <w:spacing w:line="600" w:lineRule="exact"/>
        <w:ind w:firstLineChars="200" w:firstLine="600"/>
        <w:rPr>
          <w:rFonts w:ascii="Times New Roman" w:eastAsia="黑体" w:hAnsi="Times New Roman"/>
          <w:sz w:val="30"/>
        </w:rPr>
      </w:pPr>
      <w:r>
        <w:rPr>
          <w:rFonts w:ascii="Times New Roman" w:eastAsia="黑体" w:hAnsi="Times New Roman" w:hint="eastAsia"/>
          <w:sz w:val="30"/>
        </w:rPr>
        <w:t>三、资产管理情况</w:t>
      </w:r>
    </w:p>
    <w:p w:rsidR="00913504" w:rsidRDefault="00913504" w:rsidP="00913504">
      <w:pPr>
        <w:spacing w:line="600" w:lineRule="exact"/>
        <w:ind w:firstLineChars="200" w:firstLine="643"/>
        <w:rPr>
          <w:rFonts w:hint="eastAsia"/>
        </w:rPr>
      </w:pPr>
      <w:r>
        <w:rPr>
          <w:rFonts w:hint="eastAsia"/>
          <w:b/>
          <w:bCs/>
        </w:rPr>
        <w:t>资产总额：</w:t>
      </w:r>
      <w:r>
        <w:rPr>
          <w:rFonts w:hint="eastAsia"/>
        </w:rPr>
        <w:t>2019年资产总额期末数为</w:t>
      </w:r>
      <w:r>
        <w:t>531.39</w:t>
      </w:r>
      <w:r>
        <w:rPr>
          <w:rFonts w:hint="eastAsia"/>
        </w:rPr>
        <w:t>万元，</w:t>
      </w:r>
      <w:r>
        <w:t>都</w:t>
      </w:r>
      <w:r>
        <w:lastRenderedPageBreak/>
        <w:t>为</w:t>
      </w:r>
      <w:r>
        <w:rPr>
          <w:rFonts w:hint="eastAsia"/>
        </w:rPr>
        <w:t>流动资产，</w:t>
      </w:r>
      <w:r>
        <w:t>固定资产只有一台公务用车，已</w:t>
      </w:r>
      <w:r>
        <w:rPr>
          <w:rFonts w:hint="eastAsia"/>
        </w:rPr>
        <w:t>完成计提</w:t>
      </w:r>
      <w:r>
        <w:t>折旧</w:t>
      </w:r>
      <w:r>
        <w:rPr>
          <w:rFonts w:hint="eastAsia"/>
        </w:rPr>
        <w:t>。</w:t>
      </w:r>
      <w:bookmarkStart w:id="0" w:name="_GoBack"/>
      <w:bookmarkEnd w:id="0"/>
    </w:p>
    <w:p w:rsidR="006E3261" w:rsidRDefault="006E3261" w:rsidP="006E3261">
      <w:pPr>
        <w:spacing w:line="600" w:lineRule="exact"/>
        <w:ind w:firstLineChars="200" w:firstLine="600"/>
        <w:rPr>
          <w:rFonts w:ascii="Times New Roman" w:eastAsia="黑体" w:hAnsi="Times New Roman"/>
          <w:sz w:val="30"/>
        </w:rPr>
      </w:pPr>
      <w:r>
        <w:rPr>
          <w:rFonts w:ascii="Times New Roman" w:eastAsia="黑体" w:hAnsi="Times New Roman" w:hint="eastAsia"/>
          <w:sz w:val="30"/>
        </w:rPr>
        <w:t>四</w:t>
      </w:r>
      <w:r w:rsidR="001B2BD4">
        <w:rPr>
          <w:rFonts w:ascii="Times New Roman" w:eastAsia="黑体" w:hAnsi="Times New Roman"/>
          <w:sz w:val="30"/>
        </w:rPr>
        <w:t>、</w:t>
      </w:r>
      <w:r>
        <w:rPr>
          <w:rFonts w:ascii="Times New Roman" w:eastAsia="黑体" w:hAnsi="Times New Roman"/>
          <w:sz w:val="30"/>
        </w:rPr>
        <w:t>整体支出绩效目标及开展情况</w:t>
      </w:r>
    </w:p>
    <w:p w:rsidR="00483A52" w:rsidRPr="00483A52" w:rsidRDefault="00483A52" w:rsidP="00483A52">
      <w:pPr>
        <w:spacing w:line="600" w:lineRule="exact"/>
        <w:ind w:firstLineChars="200" w:firstLine="643"/>
        <w:rPr>
          <w:rFonts w:ascii="楷体_GB2312" w:eastAsia="楷体_GB2312" w:hint="eastAsia"/>
          <w:b/>
          <w:szCs w:val="22"/>
        </w:rPr>
      </w:pPr>
      <w:r w:rsidRPr="00483A52">
        <w:rPr>
          <w:rFonts w:ascii="楷体_GB2312" w:eastAsia="楷体_GB2312" w:hint="eastAsia"/>
          <w:b/>
          <w:szCs w:val="22"/>
        </w:rPr>
        <w:t>（一）围绕主导产业招大引强。</w:t>
      </w:r>
      <w:r w:rsidRPr="00483A52">
        <w:rPr>
          <w:rFonts w:ascii="楷体_GB2312" w:eastAsia="楷体_GB2312" w:hint="eastAsia"/>
          <w:szCs w:val="22"/>
        </w:rPr>
        <w:t>一是开展宣传推介。</w:t>
      </w:r>
      <w:r w:rsidRPr="00483A52">
        <w:rPr>
          <w:rFonts w:hint="eastAsia"/>
          <w:szCs w:val="22"/>
        </w:rPr>
        <w:t>以中国五矿新能源材料产业基地12月投产仪式为契机，与中国五矿合作举行中部地区锂电材料高端论坛，扩大在行业内的影响力。</w:t>
      </w:r>
      <w:r w:rsidRPr="00483A52">
        <w:rPr>
          <w:rFonts w:ascii="楷体_GB2312" w:eastAsia="楷体_GB2312" w:hint="eastAsia"/>
          <w:szCs w:val="22"/>
        </w:rPr>
        <w:t>二是推进产业链招商。</w:t>
      </w:r>
      <w:r w:rsidRPr="00483A52">
        <w:rPr>
          <w:rFonts w:hint="eastAsia"/>
          <w:szCs w:val="22"/>
        </w:rPr>
        <w:t>紧抓锂电产业链上游原材料及下游电芯核心企业，健全锂电板块产业链。提高生物医药产业引入质量，实现原料药生产到制剂等高端医药转变。</w:t>
      </w:r>
    </w:p>
    <w:p w:rsidR="00483A52" w:rsidRPr="00483A52" w:rsidRDefault="00483A52" w:rsidP="00483A52">
      <w:pPr>
        <w:spacing w:line="600" w:lineRule="exact"/>
        <w:ind w:firstLineChars="200" w:firstLine="643"/>
        <w:rPr>
          <w:bCs/>
          <w:szCs w:val="22"/>
        </w:rPr>
      </w:pPr>
      <w:r w:rsidRPr="00483A52">
        <w:rPr>
          <w:rFonts w:ascii="楷体_GB2312" w:eastAsia="楷体_GB2312" w:hint="eastAsia"/>
          <w:b/>
          <w:szCs w:val="22"/>
        </w:rPr>
        <w:t>（二）聚力加快项目建设。</w:t>
      </w:r>
      <w:r w:rsidRPr="00483A52">
        <w:rPr>
          <w:rFonts w:ascii="楷体_GB2312" w:eastAsia="楷体_GB2312" w:hint="eastAsia"/>
          <w:szCs w:val="22"/>
        </w:rPr>
        <w:t>一是产业项目建设。</w:t>
      </w:r>
      <w:r w:rsidRPr="00483A52">
        <w:rPr>
          <w:rFonts w:hint="eastAsia"/>
          <w:szCs w:val="22"/>
        </w:rPr>
        <w:t>理顺产业项目报规报建审批工作，让园区合并优势得到充分体现，确保项目高效审批，促推赛隆药业等项目全面开工，吴赣药业等续建项目加快建设，方盛制药等多个项目正式投产。运用“千人帮千企业”活动成果，完善园区企业服务机制，健全科技创新平台。</w:t>
      </w:r>
      <w:r w:rsidRPr="00483A52">
        <w:rPr>
          <w:rFonts w:ascii="楷体_GB2312" w:eastAsia="楷体_GB2312" w:hint="eastAsia"/>
          <w:szCs w:val="22"/>
        </w:rPr>
        <w:t>二是基础设施建设。</w:t>
      </w:r>
      <w:r w:rsidRPr="00483A52">
        <w:rPr>
          <w:rFonts w:hint="eastAsia"/>
          <w:bCs/>
          <w:szCs w:val="22"/>
        </w:rPr>
        <w:t>2019年计划铺排政府投资建设项目11个，年度计划投资1.2亿元。按照完成一批、新建一批、预备一批的原则，实施项目7个，预备项目4个。</w:t>
      </w:r>
    </w:p>
    <w:p w:rsidR="00483A52" w:rsidRPr="00483A52" w:rsidRDefault="00483A52" w:rsidP="00483A52">
      <w:pPr>
        <w:spacing w:line="600" w:lineRule="exact"/>
        <w:ind w:firstLineChars="200" w:firstLine="643"/>
        <w:rPr>
          <w:rFonts w:hAnsi="宋体" w:cs="仿宋_GB2312" w:hint="eastAsia"/>
          <w:color w:val="000000"/>
          <w:kern w:val="0"/>
        </w:rPr>
      </w:pPr>
      <w:r w:rsidRPr="00483A52">
        <w:rPr>
          <w:rFonts w:ascii="楷体_GB2312" w:eastAsia="楷体_GB2312" w:hint="eastAsia"/>
          <w:b/>
          <w:szCs w:val="22"/>
        </w:rPr>
        <w:t>（三）强化要素保障。</w:t>
      </w:r>
      <w:r w:rsidRPr="00483A52">
        <w:rPr>
          <w:rFonts w:ascii="楷体_GB2312" w:eastAsia="楷体_GB2312" w:hint="eastAsia"/>
          <w:szCs w:val="22"/>
        </w:rPr>
        <w:t>一是投融资管理，</w:t>
      </w:r>
      <w:r w:rsidRPr="00483A52">
        <w:rPr>
          <w:rFonts w:hAnsi="宋体" w:hint="eastAsia"/>
          <w:szCs w:val="22"/>
        </w:rPr>
        <w:t>积极探索平台公司市场化改革，通过与港航物流、长沙电厂的合作开发、开展华腾制药厂房代建、自建企业孵化器等，加强自身造血能力。重点着力于高新区城市资源运营与管理、铜官港临港经济发展、高新区产城融合及城乡一体的新型城镇化建设、金融控股平台的打造。</w:t>
      </w:r>
      <w:r w:rsidRPr="00483A52">
        <w:rPr>
          <w:rFonts w:ascii="楷体_GB2312" w:eastAsia="楷体_GB2312" w:hint="eastAsia"/>
          <w:szCs w:val="22"/>
        </w:rPr>
        <w:t>二是用地报批和征拆，</w:t>
      </w:r>
      <w:r w:rsidRPr="00483A52">
        <w:rPr>
          <w:rFonts w:hAnsi="宋体" w:hint="eastAsia"/>
          <w:szCs w:val="22"/>
        </w:rPr>
        <w:t>计划批回白杨</w:t>
      </w:r>
      <w:r w:rsidRPr="00483A52">
        <w:rPr>
          <w:rFonts w:hAnsi="宋体" w:hint="eastAsia"/>
          <w:szCs w:val="22"/>
        </w:rPr>
        <w:lastRenderedPageBreak/>
        <w:t>路二期、码头二期等项目约1000亩土地，完成赛隆、码头二期及熟地招商项目的土地挂牌工作。</w:t>
      </w:r>
      <w:r w:rsidRPr="00483A52">
        <w:rPr>
          <w:rFonts w:hAnsi="宋体" w:cs="仿宋_GB2312" w:hint="eastAsia"/>
          <w:szCs w:val="22"/>
        </w:rPr>
        <w:t>加紧完成扫尾腾地；根据资金情况启动园区二期地块的征拆腾地。</w:t>
      </w:r>
      <w:r w:rsidRPr="00483A52">
        <w:rPr>
          <w:rFonts w:ascii="楷体_GB2312" w:eastAsia="楷体_GB2312" w:hint="eastAsia"/>
          <w:szCs w:val="22"/>
        </w:rPr>
        <w:t>三是规划建设，</w:t>
      </w:r>
      <w:r w:rsidRPr="00483A52">
        <w:rPr>
          <w:rFonts w:hint="eastAsia"/>
          <w:szCs w:val="22"/>
        </w:rPr>
        <w:t>编制园区54km</w:t>
      </w:r>
      <w:r w:rsidRPr="00483A52">
        <w:rPr>
          <w:rFonts w:hint="eastAsia"/>
          <w:szCs w:val="22"/>
          <w:vertAlign w:val="superscript"/>
        </w:rPr>
        <w:t>2</w:t>
      </w:r>
      <w:r w:rsidRPr="00483A52">
        <w:rPr>
          <w:rFonts w:hint="eastAsia"/>
          <w:szCs w:val="22"/>
        </w:rPr>
        <w:t>范围控制性详细规划，适时启动扩规片区各专项规划编制。根据多规合一要求全面优化园区建设用地与控规融合。按照区政府投资项目计划完成连心路、企业配套中心等项目设计及报建前期工作。</w:t>
      </w:r>
    </w:p>
    <w:p w:rsidR="006E3261" w:rsidRDefault="006E3261" w:rsidP="006E3261">
      <w:pPr>
        <w:spacing w:line="600" w:lineRule="exact"/>
        <w:ind w:firstLineChars="200" w:firstLine="600"/>
        <w:rPr>
          <w:rFonts w:ascii="Times New Roman" w:eastAsia="黑体" w:hAnsi="Times New Roman"/>
          <w:sz w:val="30"/>
        </w:rPr>
      </w:pPr>
      <w:r>
        <w:rPr>
          <w:rFonts w:ascii="Times New Roman" w:eastAsia="黑体" w:hAnsi="Times New Roman" w:hint="eastAsia"/>
          <w:sz w:val="30"/>
        </w:rPr>
        <w:t>五</w:t>
      </w:r>
      <w:r w:rsidR="001B2BD4">
        <w:rPr>
          <w:rFonts w:ascii="Times New Roman" w:eastAsia="黑体" w:hAnsi="Times New Roman"/>
          <w:sz w:val="30"/>
        </w:rPr>
        <w:t>、</w:t>
      </w:r>
      <w:r>
        <w:rPr>
          <w:rFonts w:ascii="Times New Roman" w:eastAsia="黑体" w:hAnsi="Times New Roman"/>
          <w:sz w:val="30"/>
        </w:rPr>
        <w:t>整体支出绩效实现情况</w:t>
      </w:r>
    </w:p>
    <w:p w:rsidR="00483A52" w:rsidRPr="00483A52" w:rsidRDefault="00483A52" w:rsidP="00483A52">
      <w:pPr>
        <w:overflowPunct w:val="0"/>
        <w:spacing w:line="560" w:lineRule="exact"/>
        <w:ind w:firstLineChars="200" w:firstLine="643"/>
        <w:rPr>
          <w:rFonts w:hAnsi="仿宋_GB2312" w:cs="仿宋_GB2312" w:hint="eastAsia"/>
        </w:rPr>
      </w:pPr>
      <w:r w:rsidRPr="00483A52">
        <w:rPr>
          <w:rFonts w:ascii="楷体_GB2312" w:eastAsia="楷体_GB2312" w:hAnsi="楷体_GB2312" w:cs="楷体_GB2312" w:hint="eastAsia"/>
          <w:b/>
        </w:rPr>
        <w:t>1．工业经济稳步运行，保持良好发展态势。</w:t>
      </w:r>
      <w:r w:rsidRPr="00483A52">
        <w:rPr>
          <w:rFonts w:hAnsi="仿宋_GB2312" w:cs="仿宋_GB2312" w:hint="eastAsia"/>
        </w:rPr>
        <w:t>2019年，工业产值保持高速增长，预计完成规模工业总产值128亿元（2018年受国家统计执法和退规影响，实际产值为111.3亿元），同比增长15%，工业入规企业量质齐升，新增九典宏阳、吴赣药业等12家规模以上工业企业，同比增长35%；财税收入4.1亿元，符合发展预期。</w:t>
      </w:r>
    </w:p>
    <w:p w:rsidR="00483A52" w:rsidRPr="00483A52" w:rsidRDefault="00483A52" w:rsidP="00483A52">
      <w:pPr>
        <w:overflowPunct w:val="0"/>
        <w:spacing w:line="560" w:lineRule="exact"/>
        <w:ind w:firstLineChars="200" w:firstLine="643"/>
        <w:rPr>
          <w:rFonts w:hAnsi="仿宋_GB2312" w:cs="仿宋_GB2312" w:hint="eastAsia"/>
        </w:rPr>
      </w:pPr>
      <w:r w:rsidRPr="00483A52">
        <w:rPr>
          <w:rFonts w:ascii="楷体_GB2312" w:eastAsia="楷体_GB2312" w:hAnsi="楷体_GB2312" w:cs="楷体_GB2312" w:hint="eastAsia"/>
          <w:b/>
        </w:rPr>
        <w:t>2．大力开展招商引资，优质项目相继入驻。</w:t>
      </w:r>
      <w:r w:rsidRPr="00483A52">
        <w:rPr>
          <w:rFonts w:hAnsi="仿宋_GB2312" w:cs="仿宋_GB2312" w:hint="eastAsia"/>
        </w:rPr>
        <w:t>围绕“一主一特”产业定位，开展产业链招商，全年新引进杉杉锂盐、立邦中国、盈德气体等10个优质项目，其中民营500强1家，行业前20强3家，世界500强益海嘉里长沙粮油产业园项目即将签约。11月成功举办第三届长效缓释新药研发国际高峰论坛暨湖南原料药产业园（长沙）投资合作论坛，聘请席振峰院士牵头组建原料药产业发展专家委员会。</w:t>
      </w:r>
    </w:p>
    <w:p w:rsidR="00483A52" w:rsidRPr="00483A52" w:rsidRDefault="00483A52" w:rsidP="00483A52">
      <w:pPr>
        <w:overflowPunct w:val="0"/>
        <w:spacing w:line="560" w:lineRule="exact"/>
        <w:ind w:firstLineChars="200" w:firstLine="643"/>
        <w:rPr>
          <w:rFonts w:hAnsi="仿宋_GB2312" w:cs="仿宋_GB2312" w:hint="eastAsia"/>
        </w:rPr>
      </w:pPr>
      <w:r w:rsidRPr="00483A52">
        <w:rPr>
          <w:rFonts w:ascii="楷体_GB2312" w:eastAsia="楷体_GB2312" w:hAnsi="楷体_GB2312" w:cs="楷体_GB2312" w:hint="eastAsia"/>
          <w:b/>
        </w:rPr>
        <w:t>3．加速推进项目建设，产业集聚效应凸显。</w:t>
      </w:r>
      <w:r w:rsidRPr="00483A52">
        <w:rPr>
          <w:rFonts w:hAnsi="仿宋_GB2312" w:cs="仿宋_GB2312" w:hint="eastAsia"/>
        </w:rPr>
        <w:t>全年铺排产业项目25个，年度总投资43.4亿元</w:t>
      </w:r>
      <w:r w:rsidRPr="00483A52">
        <w:rPr>
          <w:rFonts w:hAnsi="仿宋_GB2312" w:cs="仿宋_GB2312" w:hint="eastAsia"/>
          <w:szCs w:val="22"/>
        </w:rPr>
        <w:t>。</w:t>
      </w:r>
      <w:r w:rsidRPr="00483A52">
        <w:rPr>
          <w:rFonts w:hAnsi="仿宋_GB2312" w:cs="仿宋_GB2312" w:hint="eastAsia"/>
        </w:rPr>
        <w:t>目前已实现吴赣药业一期、九典宏阳二期等7个生物医药和新材料产业链上的项</w:t>
      </w:r>
      <w:r w:rsidRPr="00483A52">
        <w:rPr>
          <w:rFonts w:hAnsi="仿宋_GB2312" w:cs="仿宋_GB2312" w:hint="eastAsia"/>
        </w:rPr>
        <w:lastRenderedPageBreak/>
        <w:t>目建成投产，主导产业聚集效应逐步凸显。启动赛隆制药、飞鹿涂料等8个项目主体施工，完成华腾医药代建项目、方盛博大一期等原料药产业项目主体建设，原料药产业产能加速释放。湘江大道（铜官港区段）道路工程获评“湖南省优质工程”，大力推进污水厂提质改造，按期实现一级A达标排放，彻底解决污水厂建厂投运以来未进行环保验收的问题，污水厂运营管理取得重大突破。</w:t>
      </w:r>
    </w:p>
    <w:p w:rsidR="00483A52" w:rsidRPr="00483A52" w:rsidRDefault="00483A52" w:rsidP="00483A52">
      <w:pPr>
        <w:overflowPunct w:val="0"/>
        <w:spacing w:line="560" w:lineRule="exact"/>
        <w:ind w:firstLineChars="200" w:firstLine="643"/>
        <w:rPr>
          <w:rFonts w:hAnsi="仿宋_GB2312" w:cs="仿宋_GB2312" w:hint="eastAsia"/>
        </w:rPr>
      </w:pPr>
      <w:r w:rsidRPr="00483A52">
        <w:rPr>
          <w:rFonts w:ascii="楷体_GB2312" w:eastAsia="楷体_GB2312" w:hAnsi="楷体_GB2312" w:cs="楷体_GB2312" w:hint="eastAsia"/>
          <w:b/>
        </w:rPr>
        <w:t>4．强化项目要素保障，全力保障发展建设。</w:t>
      </w:r>
      <w:r w:rsidRPr="00483A52">
        <w:rPr>
          <w:rFonts w:hAnsi="仿宋_GB2312" w:cs="仿宋_GB2312" w:hint="eastAsia"/>
        </w:rPr>
        <w:t>园区坚持全方位服务项目建设，全力保障融资、土地报批、征地拆迁等基础要素，推进项目提质提速。一是全力推进融资工作，全年共计到位资金15.21亿元，其中政策性银行贷款1.06亿元、置换发行公司债券12.5亿元、获批商业银行流贷1.65亿元。二是大力推进拆迁腾地。与铜官街道共同强力推进立邦、华城路等4个项目进行维护性施工，全力协调推进杉杉锂盐、187地块项目征拆工作，为项目开工建设创造条件。</w:t>
      </w:r>
    </w:p>
    <w:p w:rsidR="00483A52" w:rsidRPr="00483A52" w:rsidRDefault="00483A52" w:rsidP="00483A52">
      <w:pPr>
        <w:shd w:val="clear" w:color="auto" w:fill="FFFFFF"/>
        <w:overflowPunct w:val="0"/>
        <w:spacing w:line="560" w:lineRule="exact"/>
        <w:ind w:firstLineChars="200" w:firstLine="643"/>
        <w:textAlignment w:val="baseline"/>
        <w:rPr>
          <w:rFonts w:hAnsi="仿宋_GB2312" w:cs="仿宋_GB2312" w:hint="eastAsia"/>
        </w:rPr>
      </w:pPr>
      <w:r w:rsidRPr="00483A52">
        <w:rPr>
          <w:rFonts w:ascii="楷体_GB2312" w:eastAsia="楷体_GB2312" w:hAnsi="楷体_GB2312" w:cs="楷体_GB2312" w:hint="eastAsia"/>
          <w:b/>
        </w:rPr>
        <w:t>5．创新安全环保监管，企业发展更有保障。</w:t>
      </w:r>
      <w:r w:rsidRPr="00483A52">
        <w:rPr>
          <w:rFonts w:hAnsi="仿宋_GB2312" w:cs="仿宋_GB2312" w:hint="eastAsia"/>
        </w:rPr>
        <w:t>将安全生产和环保视为园区发展“生命线”，推进企业安全生产和环保规范化管理，持续压实责任。引入环保管家专业机构，实现环保监管全覆盖；实现污水处理厂出水在线省厅监测联网，园区生态环境治理工作迈上新台阶。加强安全生产培训和巡查力度，提升企业安全意识，严格督促企业落实安全保障措施。园区全年无重大安全生产事故发生，湘江关西安全生产管理经验在湖南卫视新闻联播专题推介报道。</w:t>
      </w:r>
    </w:p>
    <w:p w:rsidR="00483A52" w:rsidRPr="00483A52" w:rsidRDefault="00483A52" w:rsidP="006E3261">
      <w:pPr>
        <w:spacing w:line="600" w:lineRule="exact"/>
        <w:ind w:firstLineChars="200" w:firstLine="600"/>
        <w:rPr>
          <w:rFonts w:ascii="Times New Roman" w:eastAsia="黑体" w:hAnsi="Times New Roman" w:hint="eastAsia"/>
          <w:sz w:val="30"/>
        </w:rPr>
      </w:pPr>
    </w:p>
    <w:p w:rsidR="006E3261" w:rsidRDefault="006E3261" w:rsidP="006E3261">
      <w:pPr>
        <w:spacing w:line="600" w:lineRule="exact"/>
        <w:ind w:firstLineChars="200" w:firstLine="600"/>
        <w:rPr>
          <w:rFonts w:ascii="Times New Roman" w:eastAsia="黑体" w:hAnsi="Times New Roman"/>
          <w:sz w:val="30"/>
        </w:rPr>
      </w:pPr>
      <w:r>
        <w:rPr>
          <w:rFonts w:ascii="Times New Roman" w:eastAsia="黑体" w:hAnsi="Times New Roman" w:hint="eastAsia"/>
          <w:sz w:val="30"/>
        </w:rPr>
        <w:lastRenderedPageBreak/>
        <w:t>六</w:t>
      </w:r>
      <w:r w:rsidR="001B2BD4">
        <w:rPr>
          <w:rFonts w:ascii="Times New Roman" w:eastAsia="黑体" w:hAnsi="Times New Roman"/>
          <w:sz w:val="30"/>
        </w:rPr>
        <w:t>、</w:t>
      </w:r>
      <w:r>
        <w:rPr>
          <w:rFonts w:ascii="Times New Roman" w:eastAsia="黑体" w:hAnsi="Times New Roman"/>
          <w:sz w:val="30"/>
        </w:rPr>
        <w:t>整体支出绩效中存在问题及改进措施</w:t>
      </w:r>
    </w:p>
    <w:p w:rsidR="00483A52" w:rsidRPr="00483A52" w:rsidRDefault="00483A52" w:rsidP="00483A52">
      <w:pPr>
        <w:ind w:firstLineChars="200" w:firstLine="643"/>
      </w:pPr>
      <w:r w:rsidRPr="00483A52">
        <w:rPr>
          <w:b/>
          <w:bCs/>
        </w:rPr>
        <w:t>存在问题</w:t>
      </w:r>
      <w:r w:rsidRPr="00483A52">
        <w:rPr>
          <w:rFonts w:hint="eastAsia"/>
          <w:b/>
          <w:bCs/>
        </w:rPr>
        <w:t>：</w:t>
      </w:r>
      <w:r w:rsidRPr="00483A52">
        <w:t>1.</w:t>
      </w:r>
      <w:r w:rsidRPr="00483A52">
        <w:t> </w:t>
      </w:r>
      <w:r w:rsidR="001B2BD4">
        <w:rPr>
          <w:rFonts w:hint="eastAsia"/>
        </w:rPr>
        <w:t>绩效目标设立不够明确、细化和量化</w:t>
      </w:r>
      <w:r w:rsidRPr="00483A52">
        <w:rPr>
          <w:rFonts w:hint="eastAsia"/>
        </w:rPr>
        <w:t>。</w:t>
      </w:r>
      <w:r w:rsidRPr="00483A52">
        <w:t>2.</w:t>
      </w:r>
      <w:r w:rsidRPr="00483A52">
        <w:t> </w:t>
      </w:r>
      <w:r w:rsidRPr="00483A52">
        <w:rPr>
          <w:rFonts w:hint="eastAsia"/>
        </w:rPr>
        <w:t>资金使用效益有待进一步提高。</w:t>
      </w:r>
    </w:p>
    <w:p w:rsidR="00483A52" w:rsidRPr="00483A52" w:rsidRDefault="00483A52" w:rsidP="00483A52">
      <w:pPr>
        <w:ind w:firstLineChars="200" w:firstLine="643"/>
      </w:pPr>
      <w:r w:rsidRPr="00483A52">
        <w:rPr>
          <w:b/>
          <w:bCs/>
        </w:rPr>
        <w:t>改进建议</w:t>
      </w:r>
      <w:r w:rsidRPr="00483A52">
        <w:rPr>
          <w:rFonts w:hint="eastAsia"/>
          <w:b/>
          <w:bCs/>
        </w:rPr>
        <w:t>：</w:t>
      </w:r>
      <w:r w:rsidRPr="00483A52">
        <w:t>1.</w:t>
      </w:r>
      <w:r w:rsidRPr="00483A52">
        <w:rPr>
          <w:rFonts w:hint="eastAsia"/>
        </w:rPr>
        <w:t>加强单位预算编制工作，根据人员情况、业务开展需要，逐项做出预算计划，预算合理、不留缺口、不留空项。</w:t>
      </w:r>
      <w:r w:rsidRPr="00483A52">
        <w:t>2.</w:t>
      </w:r>
      <w:r w:rsidRPr="00483A52">
        <w:rPr>
          <w:rFonts w:hint="eastAsia"/>
        </w:rPr>
        <w:t>加强业务培训，提高评价水平。部门整体绩效评价工作是一项长期性的工作，专业性强，工作量大，建议财政部门进一步加强开展部门领导及经办人员相关的政策、业务工作培训，组织开展部门之间、单位之间的经验交流，切实推进绩效评价工作的开展。</w:t>
      </w:r>
      <w:r w:rsidRPr="00483A52">
        <w:t>3.</w:t>
      </w:r>
      <w:r w:rsidRPr="00483A52">
        <w:rPr>
          <w:rFonts w:hint="eastAsia"/>
        </w:rPr>
        <w:t>预算财务分析常态化，定期做好预算支出财务分析，做好部门整体支出预算评价工作。</w:t>
      </w:r>
    </w:p>
    <w:p w:rsidR="00483A52" w:rsidRPr="00483A52" w:rsidRDefault="00483A52" w:rsidP="006E3261">
      <w:pPr>
        <w:spacing w:line="600" w:lineRule="exact"/>
        <w:ind w:firstLineChars="200" w:firstLine="600"/>
        <w:rPr>
          <w:rFonts w:ascii="Times New Roman" w:hAnsi="Times New Roman"/>
          <w:sz w:val="30"/>
        </w:rPr>
      </w:pPr>
    </w:p>
    <w:sectPr w:rsidR="00483A52" w:rsidRPr="00483A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83" w:rsidRDefault="00C22083" w:rsidP="006E3261">
      <w:pPr>
        <w:spacing w:line="240" w:lineRule="auto"/>
      </w:pPr>
      <w:r>
        <w:separator/>
      </w:r>
    </w:p>
  </w:endnote>
  <w:endnote w:type="continuationSeparator" w:id="0">
    <w:p w:rsidR="00C22083" w:rsidRDefault="00C22083" w:rsidP="006E3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83" w:rsidRDefault="00C22083" w:rsidP="006E3261">
      <w:pPr>
        <w:spacing w:line="240" w:lineRule="auto"/>
      </w:pPr>
      <w:r>
        <w:separator/>
      </w:r>
    </w:p>
  </w:footnote>
  <w:footnote w:type="continuationSeparator" w:id="0">
    <w:p w:rsidR="00C22083" w:rsidRDefault="00C22083" w:rsidP="006E32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4A0"/>
    <w:multiLevelType w:val="hybridMultilevel"/>
    <w:tmpl w:val="F9D4C8AE"/>
    <w:lvl w:ilvl="0" w:tplc="15908B4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B5"/>
    <w:rsid w:val="0016130A"/>
    <w:rsid w:val="001B2BD4"/>
    <w:rsid w:val="0047234B"/>
    <w:rsid w:val="00483A52"/>
    <w:rsid w:val="006E3261"/>
    <w:rsid w:val="008D44B5"/>
    <w:rsid w:val="008E6D20"/>
    <w:rsid w:val="00913504"/>
    <w:rsid w:val="00AA37CF"/>
    <w:rsid w:val="00AB3323"/>
    <w:rsid w:val="00C22083"/>
    <w:rsid w:val="00CB7D74"/>
    <w:rsid w:val="00E37BDD"/>
    <w:rsid w:val="00F00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43150"/>
  <w15:chartTrackingRefBased/>
  <w15:docId w15:val="{7FFF198B-67A7-4468-A877-3D67FC8E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261"/>
    <w:pPr>
      <w:widowControl w:val="0"/>
      <w:spacing w:line="580" w:lineRule="exact"/>
      <w:jc w:val="both"/>
    </w:pPr>
    <w:rPr>
      <w:rFonts w:ascii="仿宋_GB2312" w:eastAsia="仿宋_GB2312"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61"/>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E3261"/>
    <w:rPr>
      <w:sz w:val="18"/>
      <w:szCs w:val="18"/>
    </w:rPr>
  </w:style>
  <w:style w:type="paragraph" w:styleId="a5">
    <w:name w:val="footer"/>
    <w:basedOn w:val="a"/>
    <w:link w:val="a6"/>
    <w:uiPriority w:val="99"/>
    <w:unhideWhenUsed/>
    <w:rsid w:val="006E3261"/>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E3261"/>
    <w:rPr>
      <w:sz w:val="18"/>
      <w:szCs w:val="18"/>
    </w:rPr>
  </w:style>
  <w:style w:type="paragraph" w:styleId="a7">
    <w:name w:val="List Paragraph"/>
    <w:basedOn w:val="a"/>
    <w:uiPriority w:val="34"/>
    <w:qFormat/>
    <w:rsid w:val="00AA37CF"/>
    <w:pPr>
      <w:ind w:firstLineChars="200" w:firstLine="420"/>
    </w:pPr>
  </w:style>
  <w:style w:type="paragraph" w:customStyle="1" w:styleId="Default">
    <w:name w:val="Default"/>
    <w:qFormat/>
    <w:rsid w:val="008E6D20"/>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2021-05-12T05:51:00Z</dcterms:created>
  <dcterms:modified xsi:type="dcterms:W3CDTF">2021-05-14T06:32:00Z</dcterms:modified>
</cp:coreProperties>
</file>