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kern w:val="0"/>
          <w:sz w:val="40"/>
          <w:szCs w:val="40"/>
        </w:rPr>
      </w:pPr>
    </w:p>
    <w:p>
      <w:pPr>
        <w:spacing w:line="560" w:lineRule="exact"/>
        <w:jc w:val="center"/>
        <w:rPr>
          <w:rFonts w:eastAsia="方正小标宋简体"/>
          <w:kern w:val="0"/>
          <w:sz w:val="40"/>
          <w:szCs w:val="40"/>
        </w:rPr>
      </w:pPr>
      <w:r>
        <w:rPr>
          <w:rFonts w:hint="eastAsia" w:ascii="仿宋" w:hAnsi="仿宋" w:eastAsia="仿宋" w:cs="仿宋"/>
          <w:kern w:val="0"/>
          <w:sz w:val="40"/>
          <w:szCs w:val="40"/>
          <w:lang w:val="en-US" w:eastAsia="zh-CN"/>
        </w:rPr>
        <w:t>2019</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p>
      <w:pPr>
        <w:spacing w:line="560" w:lineRule="exact"/>
        <w:jc w:val="center"/>
        <w:rPr>
          <w:rFonts w:hint="eastAsia" w:eastAsia="方正小标宋简体"/>
          <w:kern w:val="0"/>
          <w:sz w:val="40"/>
          <w:szCs w:val="40"/>
          <w:lang w:eastAsia="zh-CN"/>
        </w:rPr>
      </w:pPr>
    </w:p>
    <w:tbl>
      <w:tblPr>
        <w:tblStyle w:val="2"/>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57"/>
        <w:gridCol w:w="1899"/>
        <w:gridCol w:w="186"/>
        <w:gridCol w:w="11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长沙市望城区老干部服务中心</w:t>
            </w:r>
            <w:r>
              <w:rPr>
                <w:rFonts w:hint="eastAsia" w:asciiTheme="minorEastAsia" w:hAnsiTheme="minorEastAsia" w:eastAsiaTheme="minorEastAsia" w:cstheme="minorEastAsia"/>
                <w:color w:val="000000"/>
                <w:sz w:val="21"/>
                <w:szCs w:val="21"/>
              </w:rPr>
              <w:t>　</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目</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eastAsia="zh-CN"/>
              </w:rPr>
              <w:t>9804829</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val="en-US" w:eastAsia="zh-CN"/>
              </w:rPr>
              <w:t>10786957.5</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（1）财政拨</w:t>
            </w:r>
            <w:r>
              <w:rPr>
                <w:rFonts w:hint="eastAsia" w:asciiTheme="minorEastAsia" w:hAnsiTheme="minorEastAsia" w:eastAsiaTheme="minorEastAsia" w:cstheme="minorEastAsia"/>
                <w:color w:val="000000"/>
                <w:sz w:val="21"/>
                <w:szCs w:val="21"/>
                <w:lang w:eastAsia="zh-CN"/>
              </w:rPr>
              <w:t>款</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9404829</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10438684.31</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400000</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348273.19</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87.07%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val="en-US" w:eastAsia="zh-CN"/>
              </w:rPr>
              <w:t>9804829</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10786957.5</w:t>
            </w:r>
            <w:r>
              <w:rPr>
                <w:rFonts w:hint="eastAsia" w:asciiTheme="minorEastAsia" w:hAnsiTheme="minorEastAsia" w:eastAsiaTheme="minorEastAsia" w:cstheme="minorEastAsia"/>
                <w:color w:val="000000"/>
                <w:sz w:val="21"/>
                <w:szCs w:val="21"/>
              </w:rPr>
              <w:t>　</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110.02%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（1）基本支</w:t>
            </w:r>
            <w:r>
              <w:rPr>
                <w:rFonts w:hint="eastAsia" w:asciiTheme="minorEastAsia" w:hAnsiTheme="minorEastAsia" w:eastAsiaTheme="minorEastAsia" w:cstheme="minorEastAsia"/>
                <w:color w:val="000000"/>
                <w:sz w:val="21"/>
                <w:szCs w:val="21"/>
                <w:lang w:eastAsia="zh-CN"/>
              </w:rPr>
              <w:t>出</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4794829</w:t>
            </w:r>
            <w:r>
              <w:rPr>
                <w:rFonts w:hint="eastAsia" w:asciiTheme="minorEastAsia" w:hAnsiTheme="minorEastAsia" w:eastAsiaTheme="minorEastAsia" w:cstheme="minorEastAsia"/>
                <w:color w:val="000000"/>
                <w:sz w:val="21"/>
                <w:szCs w:val="21"/>
              </w:rPr>
              <w:t>　</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6560211.01</w:t>
            </w:r>
            <w:r>
              <w:rPr>
                <w:rFonts w:hint="eastAsia" w:asciiTheme="minorEastAsia" w:hAnsiTheme="minorEastAsia" w:eastAsiaTheme="minorEastAsia" w:cstheme="minorEastAsia"/>
                <w:color w:val="000000"/>
                <w:sz w:val="21"/>
                <w:szCs w:val="21"/>
              </w:rPr>
              <w:t>　</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136.82%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（2）项目支</w:t>
            </w:r>
            <w:r>
              <w:rPr>
                <w:rFonts w:hint="eastAsia" w:asciiTheme="minorEastAsia" w:hAnsiTheme="minorEastAsia" w:eastAsiaTheme="minorEastAsia" w:cstheme="minorEastAsia"/>
                <w:color w:val="000000"/>
                <w:sz w:val="21"/>
                <w:szCs w:val="21"/>
                <w:lang w:eastAsia="zh-CN"/>
              </w:rPr>
              <w:t>出</w:t>
            </w:r>
          </w:p>
        </w:tc>
        <w:tc>
          <w:tcPr>
            <w:tcW w:w="2003"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5010000</w:t>
            </w:r>
            <w:r>
              <w:rPr>
                <w:rFonts w:hint="eastAsia" w:asciiTheme="minorEastAsia" w:hAnsiTheme="minorEastAsia" w:eastAsiaTheme="minorEastAsia" w:cstheme="minorEastAsia"/>
                <w:color w:val="000000"/>
                <w:sz w:val="21"/>
                <w:szCs w:val="21"/>
              </w:rPr>
              <w:t>　</w:t>
            </w:r>
          </w:p>
        </w:tc>
        <w:tc>
          <w:tcPr>
            <w:tcW w:w="2085"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4226746.49</w:t>
            </w:r>
            <w:r>
              <w:rPr>
                <w:rFonts w:hint="eastAsia" w:asciiTheme="minorEastAsia" w:hAnsiTheme="minorEastAsia" w:eastAsiaTheme="minorEastAsia" w:cstheme="minorEastAsia"/>
                <w:color w:val="000000"/>
                <w:sz w:val="21"/>
                <w:szCs w:val="21"/>
              </w:rPr>
              <w:t>　</w:t>
            </w:r>
          </w:p>
        </w:tc>
        <w:tc>
          <w:tcPr>
            <w:tcW w:w="1126"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84.37%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80" w:lineRule="exac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1.</w:t>
            </w:r>
            <w:r>
              <w:rPr>
                <w:rFonts w:hint="eastAsia" w:asciiTheme="minorEastAsia" w:hAnsiTheme="minorEastAsia" w:eastAsiaTheme="minorEastAsia" w:cstheme="minorEastAsia"/>
                <w:kern w:val="0"/>
                <w:sz w:val="18"/>
                <w:szCs w:val="18"/>
              </w:rPr>
              <w:t>老干部大学201</w:t>
            </w:r>
            <w:r>
              <w:rPr>
                <w:rFonts w:hint="eastAsia" w:asciiTheme="minorEastAsia" w:hAnsiTheme="minorEastAsia" w:eastAsiaTheme="minorEastAsia" w:cstheme="minorEastAsia"/>
                <w:kern w:val="0"/>
                <w:sz w:val="18"/>
                <w:szCs w:val="18"/>
                <w:lang w:val="en-US" w:eastAsia="zh-CN"/>
              </w:rPr>
              <w:t>9</w:t>
            </w:r>
            <w:r>
              <w:rPr>
                <w:rFonts w:hint="eastAsia" w:asciiTheme="minorEastAsia" w:hAnsiTheme="minorEastAsia" w:eastAsiaTheme="minorEastAsia" w:cstheme="minorEastAsia"/>
                <w:kern w:val="0"/>
                <w:sz w:val="18"/>
                <w:szCs w:val="18"/>
              </w:rPr>
              <w:t>年开设2</w:t>
            </w:r>
            <w:r>
              <w:rPr>
                <w:rFonts w:hint="eastAsia" w:asciiTheme="minorEastAsia" w:hAnsiTheme="minorEastAsia" w:eastAsiaTheme="minorEastAsia" w:cstheme="minorEastAsia"/>
                <w:kern w:val="0"/>
                <w:sz w:val="18"/>
                <w:szCs w:val="18"/>
                <w:lang w:val="en-US" w:eastAsia="zh-CN"/>
              </w:rPr>
              <w:t>8</w:t>
            </w:r>
            <w:r>
              <w:rPr>
                <w:rFonts w:hint="eastAsia" w:asciiTheme="minorEastAsia" w:hAnsiTheme="minorEastAsia" w:eastAsiaTheme="minorEastAsia" w:cstheme="minorEastAsia"/>
                <w:kern w:val="0"/>
                <w:sz w:val="18"/>
                <w:szCs w:val="18"/>
              </w:rPr>
              <w:t>个科目43个班级，招收学员</w:t>
            </w:r>
            <w:r>
              <w:rPr>
                <w:rFonts w:hint="eastAsia" w:asciiTheme="minorEastAsia" w:hAnsiTheme="minorEastAsia" w:eastAsiaTheme="minorEastAsia" w:cstheme="minorEastAsia"/>
                <w:kern w:val="0"/>
                <w:sz w:val="18"/>
                <w:szCs w:val="18"/>
                <w:lang w:val="en-US" w:eastAsia="zh-CN"/>
              </w:rPr>
              <w:t>200</w:t>
            </w:r>
            <w:r>
              <w:rPr>
                <w:rFonts w:hint="eastAsia" w:asciiTheme="minorEastAsia" w:hAnsiTheme="minorEastAsia" w:eastAsiaTheme="minorEastAsia" w:cstheme="minorEastAsia"/>
                <w:kern w:val="0"/>
                <w:sz w:val="18"/>
                <w:szCs w:val="18"/>
              </w:rPr>
              <w:t>0人次；</w:t>
            </w:r>
          </w:p>
          <w:p>
            <w:pPr>
              <w:spacing w:line="280" w:lineRule="exac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rPr>
              <w:t>资助贫困学生，关爱困境青少年；</w:t>
            </w:r>
          </w:p>
          <w:p>
            <w:pPr>
              <w:spacing w:line="280" w:lineRule="exac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3.</w:t>
            </w:r>
            <w:r>
              <w:rPr>
                <w:rFonts w:hint="eastAsia" w:asciiTheme="minorEastAsia" w:hAnsiTheme="minorEastAsia" w:eastAsiaTheme="minorEastAsia" w:cstheme="minorEastAsia"/>
                <w:kern w:val="0"/>
                <w:sz w:val="18"/>
                <w:szCs w:val="18"/>
              </w:rPr>
              <w:t>帮扶特殊困难离退休干部及离休干部遗孀；</w:t>
            </w:r>
          </w:p>
          <w:p>
            <w:pPr>
              <w:widowControl/>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lang w:val="en-US" w:eastAsia="zh-CN"/>
              </w:rPr>
              <w:t>4.</w:t>
            </w:r>
            <w:r>
              <w:rPr>
                <w:rFonts w:hint="eastAsia" w:asciiTheme="minorEastAsia" w:hAnsiTheme="minorEastAsia" w:eastAsiaTheme="minorEastAsia" w:cstheme="minorEastAsia"/>
                <w:kern w:val="0"/>
                <w:sz w:val="18"/>
                <w:szCs w:val="18"/>
              </w:rPr>
              <w:t>打造一批市级网络课堂示范站点、市级示范性离退休干部党支部、市级“发挥五老作用”示范阵地。</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1.老干部大学2019年开设28个科目43个班级，招收学员达4000人次。</w:t>
            </w:r>
          </w:p>
          <w:p>
            <w:pPr>
              <w:spacing w:line="250" w:lineRule="exact"/>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2.区关工委资助贫困学生243人。</w:t>
            </w:r>
          </w:p>
          <w:p>
            <w:pPr>
              <w:spacing w:line="250" w:lineRule="exact"/>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3.帮扶特殊困难离退休干部及遗孀158人。</w:t>
            </w:r>
          </w:p>
          <w:p>
            <w:pPr>
              <w:spacing w:line="250" w:lineRule="exact"/>
              <w:jc w:val="left"/>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4.2019年成功创建省级</w:t>
            </w:r>
            <w:r>
              <w:rPr>
                <w:rFonts w:hint="eastAsia" w:asciiTheme="minorEastAsia" w:hAnsiTheme="minorEastAsia" w:eastAsiaTheme="minorEastAsia" w:cstheme="minorEastAsia"/>
                <w:sz w:val="18"/>
                <w:szCs w:val="18"/>
              </w:rPr>
              <w:t>离退休干部“五化”示范党支部</w:t>
            </w:r>
            <w:r>
              <w:rPr>
                <w:rFonts w:hint="eastAsia" w:asciiTheme="minorEastAsia" w:hAnsiTheme="minorEastAsia" w:eastAsiaTheme="minorEastAsia" w:cstheme="minorEastAsia"/>
                <w:sz w:val="18"/>
                <w:szCs w:val="18"/>
                <w:lang w:val="en-US" w:eastAsia="zh-CN"/>
              </w:rPr>
              <w:t>1个，</w:t>
            </w:r>
            <w:r>
              <w:rPr>
                <w:rFonts w:hint="eastAsia" w:asciiTheme="minorEastAsia" w:hAnsiTheme="minorEastAsia" w:eastAsiaTheme="minorEastAsia" w:cstheme="minorEastAsia"/>
                <w:sz w:val="18"/>
                <w:szCs w:val="18"/>
              </w:rPr>
              <w:t>市级离退休干部“五化”示范党支部</w:t>
            </w:r>
            <w:r>
              <w:rPr>
                <w:rFonts w:hint="eastAsia" w:asciiTheme="minorEastAsia" w:hAnsiTheme="minorEastAsia" w:eastAsiaTheme="minorEastAsia" w:cstheme="minorEastAsia"/>
                <w:sz w:val="18"/>
                <w:szCs w:val="18"/>
                <w:lang w:val="en-US" w:eastAsia="zh-CN"/>
              </w:rPr>
              <w:t>3个，市级网络课堂示范站点3个，市级“五老志愿服务队3个。”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14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11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142"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1126"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lang w:val="en-US" w:eastAsia="zh-CN"/>
              </w:rPr>
              <w:t>0</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142"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126"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60</w:t>
            </w:r>
          </w:p>
        </w:tc>
        <w:tc>
          <w:tcPr>
            <w:tcW w:w="503"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142"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126"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142"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1126"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根据履职情况，结合绩效目标和项目性质，对重点工作计划完成、产出质量、产出时效和有关成本控制情况评价，实现</w:t>
            </w:r>
            <w:r>
              <w:rPr>
                <w:rFonts w:hint="eastAsia" w:asciiTheme="minorEastAsia" w:hAnsiTheme="minorEastAsia" w:eastAsiaTheme="minorEastAsia" w:cstheme="minorEastAsia"/>
                <w:kern w:val="0"/>
                <w:sz w:val="18"/>
                <w:szCs w:val="18"/>
                <w:lang w:val="en-US" w:eastAsia="zh-CN"/>
              </w:rPr>
              <w:t>70%以上得4分，70%以下不得分。</w:t>
            </w:r>
          </w:p>
        </w:tc>
        <w:tc>
          <w:tcPr>
            <w:tcW w:w="2142"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126"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4625" w:type="dxa"/>
            <w:gridSpan w:val="7"/>
            <w:vMerge w:val="restart"/>
            <w:tcBorders>
              <w:tl2br w:val="nil"/>
              <w:tr2bl w:val="nil"/>
            </w:tcBorders>
            <w:vAlign w:val="center"/>
          </w:tcPr>
          <w:p>
            <w:pPr>
              <w:spacing w:line="280" w:lineRule="exac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老干部大学201</w:t>
            </w:r>
            <w:r>
              <w:rPr>
                <w:rFonts w:hint="eastAsia" w:asciiTheme="minorEastAsia" w:hAnsiTheme="minorEastAsia" w:eastAsiaTheme="minorEastAsia" w:cstheme="minorEastAsia"/>
                <w:kern w:val="0"/>
                <w:sz w:val="18"/>
                <w:szCs w:val="18"/>
                <w:lang w:val="en-US" w:eastAsia="zh-CN"/>
              </w:rPr>
              <w:t>9</w:t>
            </w:r>
            <w:r>
              <w:rPr>
                <w:rFonts w:hint="eastAsia" w:asciiTheme="minorEastAsia" w:hAnsiTheme="minorEastAsia" w:eastAsiaTheme="minorEastAsia" w:cstheme="minorEastAsia"/>
                <w:kern w:val="0"/>
                <w:sz w:val="18"/>
                <w:szCs w:val="18"/>
              </w:rPr>
              <w:t>年开设2</w:t>
            </w:r>
            <w:r>
              <w:rPr>
                <w:rFonts w:hint="eastAsia" w:asciiTheme="minorEastAsia" w:hAnsiTheme="minorEastAsia" w:eastAsiaTheme="minorEastAsia" w:cstheme="minorEastAsia"/>
                <w:kern w:val="0"/>
                <w:sz w:val="18"/>
                <w:szCs w:val="18"/>
                <w:lang w:val="en-US" w:eastAsia="zh-CN"/>
              </w:rPr>
              <w:t>8</w:t>
            </w:r>
            <w:r>
              <w:rPr>
                <w:rFonts w:hint="eastAsia" w:asciiTheme="minorEastAsia" w:hAnsiTheme="minorEastAsia" w:eastAsiaTheme="minorEastAsia" w:cstheme="minorEastAsia"/>
                <w:kern w:val="0"/>
                <w:sz w:val="18"/>
                <w:szCs w:val="18"/>
              </w:rPr>
              <w:t>个科目43个班级，招收学员</w:t>
            </w:r>
            <w:r>
              <w:rPr>
                <w:rFonts w:hint="eastAsia" w:asciiTheme="minorEastAsia" w:hAnsiTheme="minorEastAsia" w:eastAsiaTheme="minorEastAsia" w:cstheme="minorEastAsia"/>
                <w:kern w:val="0"/>
                <w:sz w:val="18"/>
                <w:szCs w:val="18"/>
                <w:lang w:val="en-US" w:eastAsia="zh-CN"/>
              </w:rPr>
              <w:t>200</w:t>
            </w:r>
            <w:r>
              <w:rPr>
                <w:rFonts w:hint="eastAsia" w:asciiTheme="minorEastAsia" w:hAnsiTheme="minorEastAsia" w:eastAsiaTheme="minorEastAsia" w:cstheme="minorEastAsia"/>
                <w:kern w:val="0"/>
                <w:sz w:val="18"/>
                <w:szCs w:val="18"/>
              </w:rPr>
              <w:t>0人次；资助贫困学生，关爱困境青少年；帮扶特殊困难离退休干部及离休干部遗孀；打造一批市级网络课堂示范站点、市级示范性离退休干部党支部、市级“发挥五老作用”示范阵地。</w:t>
            </w:r>
          </w:p>
        </w:tc>
        <w:tc>
          <w:tcPr>
            <w:tcW w:w="1126" w:type="dxa"/>
            <w:vMerge w:val="restart"/>
            <w:tcBorders>
              <w:tl2br w:val="nil"/>
              <w:tr2bl w:val="nil"/>
            </w:tcBorders>
            <w:vAlign w:val="center"/>
          </w:tcPr>
          <w:p>
            <w:pPr>
              <w:spacing w:line="28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4625" w:type="dxa"/>
            <w:gridSpan w:val="7"/>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1126"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142"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1126"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142"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w:t>
            </w:r>
            <w:bookmarkStart w:id="0" w:name="_GoBack"/>
            <w:bookmarkEnd w:id="0"/>
            <w:r>
              <w:rPr>
                <w:rFonts w:hint="eastAsia" w:asciiTheme="minorEastAsia" w:hAnsiTheme="minorEastAsia" w:eastAsiaTheme="minorEastAsia" w:cstheme="minorEastAsia"/>
                <w:kern w:val="0"/>
                <w:sz w:val="18"/>
                <w:szCs w:val="18"/>
              </w:rPr>
              <w:t>履行职责而影响到的部门、群体或个人，一般采取社会调查的方式。</w:t>
            </w:r>
          </w:p>
        </w:tc>
        <w:tc>
          <w:tcPr>
            <w:tcW w:w="1126"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lang w:val="en-US" w:eastAsia="zh-CN"/>
              </w:rPr>
              <w:t>6</w:t>
            </w:r>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E6CA8"/>
    <w:rsid w:val="1EF827EF"/>
    <w:rsid w:val="346E6CA8"/>
    <w:rsid w:val="4B695820"/>
    <w:rsid w:val="5B1D7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2020-03-30T03:00:00Z</dcterms:created>
  <dc:creator>Administrator</dc:creator>
  <cp:lastModifiedBy>Administrator</cp:lastModifiedBy>
  <dcterms:modified xsi:type="dcterms:W3CDTF">2020-04-22T02:34:09Z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