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2019年度</w:t>
      </w:r>
      <w:r>
        <w:rPr>
          <w:rFonts w:hint="eastAsia" w:ascii="黑体" w:hAnsi="黑体" w:eastAsia="黑体" w:cs="黑体"/>
          <w:sz w:val="44"/>
          <w:szCs w:val="44"/>
          <w:lang w:eastAsia="zh-CN"/>
        </w:rPr>
        <w:t>长沙市望城区老干部服务中心</w:t>
      </w:r>
    </w:p>
    <w:p>
      <w:pPr>
        <w:spacing w:line="600" w:lineRule="exact"/>
        <w:jc w:val="center"/>
        <w:rPr>
          <w:rFonts w:hint="default" w:ascii="Times New Roman" w:hAnsi="Times New Roman" w:eastAsia="方正小标宋简体" w:cs="Times New Roman"/>
          <w:sz w:val="44"/>
          <w:szCs w:val="44"/>
        </w:rPr>
      </w:pPr>
      <w:r>
        <w:rPr>
          <w:rFonts w:hint="eastAsia" w:ascii="黑体" w:hAnsi="黑体" w:eastAsia="黑体" w:cs="黑体"/>
          <w:sz w:val="44"/>
          <w:szCs w:val="44"/>
        </w:rPr>
        <w:t>部门整体支出预算绩效自评报告</w:t>
      </w:r>
    </w:p>
    <w:p>
      <w:pPr>
        <w:spacing w:line="600" w:lineRule="exact"/>
        <w:jc w:val="center"/>
        <w:rPr>
          <w:rFonts w:hint="default" w:ascii="Times New Roman" w:hAnsi="Times New Roman" w:eastAsia="仿宋_GB2312" w:cs="Times New Roman"/>
          <w:sz w:val="32"/>
          <w:szCs w:val="32"/>
        </w:rPr>
      </w:pP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部门（单位）基本情况</w:t>
      </w:r>
    </w:p>
    <w:p>
      <w:pPr>
        <w:pStyle w:val="4"/>
        <w:widowControl/>
        <w:spacing w:line="510" w:lineRule="atLeast"/>
        <w:ind w:firstLine="640" w:firstLineChars="200"/>
        <w:jc w:val="both"/>
        <w:rPr>
          <w:rFonts w:hint="eastAsia" w:ascii="仿宋" w:hAnsi="仿宋" w:eastAsia="仿宋_GB2312" w:cs="仿宋"/>
          <w:sz w:val="32"/>
          <w:szCs w:val="32"/>
          <w:lang w:val="en-US" w:eastAsia="zh-CN"/>
        </w:rPr>
      </w:pPr>
      <w:r>
        <w:rPr>
          <w:rFonts w:hint="eastAsia" w:ascii="仿宋" w:hAnsi="仿宋" w:eastAsia="仿宋" w:cs="仿宋"/>
          <w:sz w:val="32"/>
          <w:szCs w:val="32"/>
          <w:lang w:eastAsia="zh-CN"/>
        </w:rPr>
        <w:t>我单位为</w:t>
      </w:r>
      <w:r>
        <w:rPr>
          <w:rFonts w:hint="eastAsia" w:ascii="仿宋" w:hAnsi="仿宋" w:eastAsia="仿宋" w:cs="仿宋"/>
          <w:sz w:val="32"/>
          <w:szCs w:val="32"/>
          <w:lang w:val="en-US" w:eastAsia="zh-CN"/>
        </w:rPr>
        <w:t>2019年4月根据长编委发[2019]8号《关于长沙市望城区机构改革涉改科级事业单位调整的批复》文件精神，将老干部服务工作相关公益服务职能，以及老干部休养所得职责、区老干部中心活动室的职责、区老干部大学的职责整合组建的区委直属正科级公益类事业单位。内设办公室和服务部两个科室，关工委、老干部大学、老年保健协会、老干部书画协会、老干部钓鱼协会、离退休工委等涉老机构设在老干部服务中心。财务方面沿用了原老干部局预算代码及支付账务系统。老干部服务中心的主要职责为</w:t>
      </w:r>
      <w:r>
        <w:rPr>
          <w:rFonts w:hint="eastAsia" w:ascii="仿宋_GB2312" w:hAnsi="仿宋_GB2312" w:eastAsia="仿宋_GB2312" w:cs="仿宋_GB2312"/>
          <w:sz w:val="32"/>
          <w:szCs w:val="32"/>
        </w:rPr>
        <w:t>贯彻执行中央和省、市、区关于离退休干部工作的方针、政策和法规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rPr>
        <w:t>负责落实全区离休干部、副县级以上退休干部政治待遇、生活待遇，并为街镇和区直部门落实离退休干部政治待遇、生活待遇提供指导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组织引导离退休干部开展文体康乐、参观考察、形势教育、青少年教育等多种形式的活动，为全区经济社会发展增添正能量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负责做好特殊困难离退休干部及离休干部遗孀的救助工作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协助组织实施全区老干部（老年）教育工作，协助做好老干部大学日常管理工作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协助做好关心下一代工作</w:t>
      </w:r>
      <w:r>
        <w:rPr>
          <w:rFonts w:hint="eastAsia" w:ascii="仿宋_GB2312" w:hAnsi="仿宋_GB2312" w:eastAsia="仿宋_GB2312" w:cs="仿宋_GB2312"/>
          <w:sz w:val="32"/>
          <w:szCs w:val="32"/>
          <w:lang w:eastAsia="zh-CN"/>
        </w:rPr>
        <w:t>。</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部门（单位）预算管理及执行情况</w:t>
      </w:r>
    </w:p>
    <w:p>
      <w:pPr>
        <w:numPr>
          <w:ilvl w:val="0"/>
          <w:numId w:val="0"/>
        </w:numPr>
        <w:spacing w:line="600" w:lineRule="exact"/>
        <w:rPr>
          <w:rFonts w:hint="default" w:ascii="仿宋" w:hAnsi="仿宋" w:eastAsia="仿宋" w:cs="仿宋"/>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sz w:val="32"/>
          <w:szCs w:val="32"/>
          <w:lang w:val="en-US" w:eastAsia="zh-CN"/>
        </w:rPr>
        <w:t xml:space="preserve"> 2019年部门预算收入1078.7万元，预算支出1078.7万元。2018年老干局部门预算收入1141.24万元，预算支出1141.24万元。2019年较2018年减少62.54万元，减少的主要原因一是由于机构改革，减少了人员，其相关的各项经费随之减少；二是离休干部人数逐年减少，和离休干部相关的各项经费也随之减少。</w:t>
      </w:r>
    </w:p>
    <w:p>
      <w:pPr>
        <w:numPr>
          <w:ilvl w:val="0"/>
          <w:numId w:val="1"/>
        </w:numPr>
        <w:spacing w:line="600" w:lineRule="exact"/>
        <w:ind w:left="0" w:leftChars="0"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部门（单位）</w:t>
      </w:r>
      <w:r>
        <w:rPr>
          <w:rFonts w:hint="eastAsia" w:ascii="Times New Roman" w:hAnsi="Times New Roman" w:eastAsia="黑体" w:cs="Times New Roman"/>
          <w:sz w:val="32"/>
          <w:szCs w:val="32"/>
          <w:lang w:eastAsia="zh-CN"/>
        </w:rPr>
        <w:t>资产管理情况</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截至</w:t>
      </w:r>
      <w:r>
        <w:rPr>
          <w:rFonts w:hint="eastAsia" w:ascii="仿宋" w:hAnsi="仿宋" w:eastAsia="仿宋" w:cs="仿宋"/>
          <w:sz w:val="32"/>
          <w:szCs w:val="32"/>
          <w:lang w:val="en-US" w:eastAsia="zh-CN"/>
        </w:rPr>
        <w:t>2019年12月31日，本部门有公务用车4台，为老干部服务用车。</w:t>
      </w:r>
    </w:p>
    <w:p>
      <w:pPr>
        <w:numPr>
          <w:ilvl w:val="0"/>
          <w:numId w:val="0"/>
        </w:num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单位价值50万元以上通用设备0台（套），单价100万元以上专用设备0台（套）。现有通用设备157.56万元，占固定资产55.3%；家具用具31.79万元，占固定资产的11.16%。</w:t>
      </w:r>
    </w:p>
    <w:p>
      <w:p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部门（单位）整体支出绩效目标及开展情况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color w:val="000000"/>
          <w:szCs w:val="21"/>
        </w:rPr>
      </w:pPr>
      <w:r>
        <w:rPr>
          <w:rFonts w:hint="eastAsia"/>
          <w:kern w:val="0"/>
          <w:szCs w:val="21"/>
        </w:rPr>
        <w:t>目标1：突出从严治党，着力加强离退休干部“两项”建设，</w:t>
      </w:r>
      <w:r>
        <w:rPr>
          <w:rFonts w:hint="eastAsia" w:ascii="宋体" w:hAnsi="宋体"/>
          <w:color w:val="000000"/>
          <w:szCs w:val="21"/>
        </w:rPr>
        <w:t>采取多种形式组织引导离退休干部原原本本学习习近平总书记系列重要讲话精神和</w:t>
      </w:r>
      <w:r>
        <w:rPr>
          <w:rFonts w:hint="eastAsia" w:ascii="宋体" w:hAnsi="宋体"/>
          <w:color w:val="000000"/>
          <w:szCs w:val="21"/>
          <w:lang w:eastAsia="zh-CN"/>
        </w:rPr>
        <w:t>党的十九大</w:t>
      </w:r>
      <w:r>
        <w:rPr>
          <w:rFonts w:hint="eastAsia" w:ascii="宋体" w:hAnsi="宋体"/>
          <w:color w:val="000000"/>
          <w:szCs w:val="21"/>
        </w:rPr>
        <w:t>报告精神；</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color w:val="000000"/>
          <w:szCs w:val="21"/>
        </w:rPr>
      </w:pPr>
      <w:r>
        <w:rPr>
          <w:rFonts w:hint="eastAsia" w:ascii="宋体" w:hAnsi="宋体"/>
          <w:color w:val="000000"/>
          <w:szCs w:val="21"/>
        </w:rPr>
        <w:t>目标2：</w:t>
      </w:r>
      <w:r>
        <w:rPr>
          <w:rFonts w:hint="eastAsia" w:ascii="宋体" w:hAnsi="宋体"/>
          <w:bCs/>
          <w:szCs w:val="21"/>
        </w:rPr>
        <w:t>突出价值取向，着力推进正能量活动持续深入开展，</w:t>
      </w:r>
      <w:r>
        <w:rPr>
          <w:rFonts w:hint="eastAsia" w:ascii="宋体" w:hAnsi="宋体"/>
          <w:color w:val="000000"/>
          <w:szCs w:val="21"/>
        </w:rPr>
        <w:t>大力支持涉老组织发挥作用，为党委政府加油鼓劲，为事业发展点赞喝彩，为工作大局凝心聚力；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宋体" w:hAnsi="宋体"/>
          <w:color w:val="000000"/>
          <w:szCs w:val="21"/>
        </w:rPr>
      </w:pPr>
      <w:r>
        <w:rPr>
          <w:rFonts w:hint="eastAsia" w:ascii="宋体" w:hAnsi="宋体"/>
          <w:color w:val="000000"/>
          <w:szCs w:val="21"/>
        </w:rPr>
        <w:t>目标3：</w:t>
      </w:r>
      <w:r>
        <w:rPr>
          <w:rFonts w:hint="eastAsia" w:ascii="宋体" w:hAnsi="宋体"/>
          <w:bCs/>
          <w:szCs w:val="21"/>
        </w:rPr>
        <w:t>突出真情关怀，着力为老同志办实事做好事解难事，</w:t>
      </w:r>
      <w:r>
        <w:rPr>
          <w:rFonts w:hint="eastAsia" w:ascii="宋体" w:hAnsi="宋体"/>
          <w:color w:val="000000"/>
          <w:szCs w:val="21"/>
        </w:rPr>
        <w:t>全面建立特困离退休干部及遗孀帮扶机制，帮助有特殊困难的离退休干部解决实际困难；</w:t>
      </w:r>
    </w:p>
    <w:p>
      <w:pPr>
        <w:spacing w:line="600" w:lineRule="exact"/>
        <w:ind w:firstLine="640" w:firstLineChars="200"/>
        <w:rPr>
          <w:rFonts w:hint="eastAsia" w:ascii="仿宋" w:hAnsi="仿宋" w:eastAsia="仿宋" w:cs="仿宋"/>
          <w:sz w:val="32"/>
          <w:szCs w:val="32"/>
        </w:rPr>
      </w:pPr>
      <w:r>
        <w:rPr>
          <w:rFonts w:hint="eastAsia" w:ascii="宋体" w:hAnsi="宋体"/>
          <w:color w:val="000000"/>
          <w:szCs w:val="21"/>
        </w:rPr>
        <w:t>目标4：</w:t>
      </w:r>
      <w:r>
        <w:rPr>
          <w:rFonts w:hint="eastAsia" w:ascii="宋体" w:hAnsi="宋体"/>
          <w:bCs/>
          <w:szCs w:val="21"/>
        </w:rPr>
        <w:t>突出精神需求，着力提升文化养老工作的水平，</w:t>
      </w:r>
      <w:r>
        <w:rPr>
          <w:rFonts w:hint="eastAsia" w:ascii="宋体" w:hAnsi="宋体"/>
          <w:color w:val="000000"/>
          <w:szCs w:val="21"/>
        </w:rPr>
        <w:t>发挥老年社团的主体作用，发挥骨干队伍的主力军作用，形成整散结合、上下联动、共同繁荣的文化健康活动组织体系，凝聚文化养老工作强大合力。</w:t>
      </w:r>
    </w:p>
    <w:p>
      <w:p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部门（单位）整体支出绩效实现情况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（一）履职完成情况</w:t>
      </w:r>
    </w:p>
    <w:p>
      <w:pPr>
        <w:spacing w:line="600" w:lineRule="exact"/>
        <w:ind w:firstLine="640" w:firstLineChars="200"/>
        <w:rPr>
          <w:rFonts w:hint="eastAsia" w:ascii="仿宋" w:hAnsi="仿宋" w:eastAsia="仿宋" w:cs="仿宋"/>
          <w:sz w:val="32"/>
          <w:szCs w:val="32"/>
        </w:rPr>
      </w:pPr>
      <w:r>
        <w:rPr>
          <w:rStyle w:val="7"/>
          <w:rFonts w:hint="eastAsia" w:ascii="仿宋" w:hAnsi="仿宋" w:eastAsia="仿宋" w:cs="仿宋"/>
          <w:sz w:val="32"/>
          <w:szCs w:val="32"/>
        </w:rPr>
        <w:t>1.继续落实了离休干部离休费保障机制、医药费保障机制、财政支持机制，解决了老干部看病就医及医药费报销中遇到的实际困难和问题。 2.春节前夕，代表区委、区政府慰问全区离休干部及遗孀、副处级以上退休干部、老干支部书记；对特困离退休干部及遗孀进行帮扶救助。 3.全年落实离退休干部生日祝寿、生病探望、逝世吊唁等方面待遇35人次，并对居住在外地的离休干部上门进行走访慰问。 4.离退休干部视察重点工程建设，感受全区经济社会发展成就和日新月异的发展变化，并召开座谈会。 5.</w:t>
      </w:r>
      <w:r>
        <w:rPr>
          <w:rStyle w:val="7"/>
          <w:rFonts w:hint="eastAsia" w:ascii="仿宋" w:hAnsi="仿宋" w:eastAsia="仿宋" w:cs="仿宋"/>
          <w:sz w:val="32"/>
          <w:szCs w:val="32"/>
          <w:lang w:eastAsia="zh-CN"/>
        </w:rPr>
        <w:t>指</w:t>
      </w:r>
      <w:r>
        <w:rPr>
          <w:rStyle w:val="7"/>
          <w:rFonts w:hint="eastAsia" w:ascii="仿宋" w:hAnsi="仿宋" w:eastAsia="仿宋" w:cs="仿宋"/>
          <w:sz w:val="32"/>
          <w:szCs w:val="32"/>
        </w:rPr>
        <w:t>导“五老”金牌讲师团根据市委老干部局和区委宣传部的工作部署，不断深化拓展“五老四教添新彩、言传身教润长沙”主题活动，围绕</w:t>
      </w:r>
      <w:r>
        <w:rPr>
          <w:rStyle w:val="7"/>
          <w:rFonts w:hint="eastAsia" w:ascii="仿宋" w:hAnsi="仿宋" w:eastAsia="仿宋" w:cs="仿宋"/>
          <w:sz w:val="32"/>
          <w:szCs w:val="32"/>
          <w:lang w:eastAsia="zh-CN"/>
        </w:rPr>
        <w:t>党的</w:t>
      </w:r>
      <w:bookmarkStart w:id="0" w:name="_GoBack"/>
      <w:bookmarkEnd w:id="0"/>
      <w:r>
        <w:rPr>
          <w:rStyle w:val="7"/>
          <w:rFonts w:hint="eastAsia" w:ascii="仿宋" w:hAnsi="仿宋" w:eastAsia="仿宋" w:cs="仿宋"/>
          <w:sz w:val="32"/>
          <w:szCs w:val="32"/>
          <w:lang w:eastAsia="zh-CN"/>
        </w:rPr>
        <w:t>十九大</w:t>
      </w:r>
      <w:r>
        <w:rPr>
          <w:rStyle w:val="7"/>
          <w:rFonts w:hint="eastAsia" w:ascii="仿宋" w:hAnsi="仿宋" w:eastAsia="仿宋" w:cs="仿宋"/>
          <w:sz w:val="32"/>
          <w:szCs w:val="32"/>
        </w:rPr>
        <w:t>精神、时政热点、新中国成立70周年、垃圾分类、蓝天保卫战、雷锋精神等开展主题宣讲。 6.</w:t>
      </w:r>
      <w:r>
        <w:rPr>
          <w:rStyle w:val="7"/>
          <w:rFonts w:hint="eastAsia" w:ascii="仿宋" w:hAnsi="仿宋" w:eastAsia="仿宋" w:cs="仿宋"/>
          <w:sz w:val="32"/>
          <w:szCs w:val="32"/>
          <w:lang w:eastAsia="zh-CN"/>
        </w:rPr>
        <w:t>为老</w:t>
      </w:r>
      <w:r>
        <w:rPr>
          <w:rStyle w:val="7"/>
          <w:rFonts w:hint="eastAsia" w:ascii="仿宋" w:hAnsi="仿宋" w:eastAsia="仿宋" w:cs="仿宋"/>
          <w:sz w:val="32"/>
          <w:szCs w:val="32"/>
        </w:rPr>
        <w:t>干部订阅《长沙晚报》、《老年人》杂志，发放《党建文汇》、《求是》等杂志，为老干部提供多种多样的学习资料。 7.对全区离退休干部信息进行采集，圆满完成3737名离退休干部信息采集工作。 8.分两个调研小组，通过实地走访、问卷调查、座谈交流和个别谈话等形式，深入全区各街镇和部门单位开展调研。 9.联合区文化旅游广电体育局举办老干部趣味运动会，来自全区近400名老人组成49支队伍，展开趣味角逐。 10.组织举办离退休干部党支部书记培训班，带老同志赴长沙县金茂路社区、果园镇等党建示范点现场参观，增长见识。 11.</w:t>
      </w:r>
      <w:r>
        <w:rPr>
          <w:rStyle w:val="7"/>
          <w:rFonts w:hint="eastAsia" w:ascii="仿宋" w:hAnsi="仿宋" w:eastAsia="仿宋" w:cs="仿宋"/>
          <w:sz w:val="32"/>
          <w:szCs w:val="32"/>
          <w:lang w:eastAsia="zh-CN"/>
        </w:rPr>
        <w:t>老干部大学</w:t>
      </w:r>
      <w:r>
        <w:rPr>
          <w:rStyle w:val="7"/>
          <w:rFonts w:hint="eastAsia" w:ascii="仿宋" w:hAnsi="仿宋" w:eastAsia="仿宋" w:cs="仿宋"/>
          <w:sz w:val="32"/>
          <w:szCs w:val="32"/>
          <w:lang w:val="en-US" w:eastAsia="zh-CN"/>
        </w:rPr>
        <w:t>2019年开设28个科目43个班级，全年学员人次达4000余人次。12.</w:t>
      </w:r>
      <w:r>
        <w:rPr>
          <w:rStyle w:val="7"/>
          <w:rFonts w:hint="eastAsia" w:ascii="仿宋" w:hAnsi="仿宋" w:eastAsia="仿宋" w:cs="仿宋"/>
          <w:sz w:val="32"/>
          <w:szCs w:val="32"/>
        </w:rPr>
        <w:t>保健协会精心组织开展人口老龄化国情教育、孝亲敬老文化教育、老年人健康心态教育三项教育活动，组织编印老年人养生读物，开展区第三届健康阳光老人评选表彰活动。 1</w:t>
      </w:r>
      <w:r>
        <w:rPr>
          <w:rStyle w:val="7"/>
          <w:rFonts w:hint="eastAsia" w:ascii="仿宋" w:hAnsi="仿宋" w:eastAsia="仿宋" w:cs="仿宋"/>
          <w:sz w:val="32"/>
          <w:szCs w:val="32"/>
          <w:lang w:val="en-US" w:eastAsia="zh-CN"/>
        </w:rPr>
        <w:t>3</w:t>
      </w:r>
      <w:r>
        <w:rPr>
          <w:rStyle w:val="7"/>
          <w:rFonts w:hint="eastAsia" w:ascii="仿宋" w:hAnsi="仿宋" w:eastAsia="仿宋" w:cs="仿宋"/>
          <w:sz w:val="32"/>
          <w:szCs w:val="32"/>
        </w:rPr>
        <w:t>.</w:t>
      </w:r>
      <w:r>
        <w:rPr>
          <w:rStyle w:val="7"/>
          <w:rFonts w:hint="eastAsia" w:ascii="仿宋" w:hAnsi="仿宋" w:eastAsia="仿宋" w:cs="仿宋"/>
          <w:sz w:val="32"/>
          <w:szCs w:val="32"/>
          <w:lang w:eastAsia="zh-CN"/>
        </w:rPr>
        <w:t>关</w:t>
      </w:r>
      <w:r>
        <w:rPr>
          <w:rStyle w:val="7"/>
          <w:rFonts w:hint="eastAsia" w:ascii="仿宋" w:hAnsi="仿宋" w:eastAsia="仿宋" w:cs="仿宋"/>
          <w:sz w:val="32"/>
          <w:szCs w:val="32"/>
        </w:rPr>
        <w:t xml:space="preserve">工委开展“传承红色基因 争做时代新人”征文比赛，“腾飞中国 辉煌70年”主题宣讲，“关爱明天 爱心助学”等活动。 </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（二）履职效果情况：</w:t>
      </w:r>
    </w:p>
    <w:p>
      <w:p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1.经济性分析：严格按预算支出，各项支出严格按相关制度审核支付，全年总支出未超过年初预算。</w:t>
      </w:r>
    </w:p>
    <w:p>
      <w:p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2.效率性分析：实施进度方面根据实际需求，按时支付各项支出，完成质量方面保证了老干部服务中心各项工作的正常运转和离休干部“两费”按时足额到位，完成质量达到绩效目标。</w:t>
      </w:r>
    </w:p>
    <w:p>
      <w:p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3.效益性分析：</w:t>
      </w:r>
    </w:p>
    <w:p>
      <w:p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（1）目标完成程度</w:t>
      </w:r>
    </w:p>
    <w:p>
      <w:p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百分百完成了预期目标。</w:t>
      </w:r>
    </w:p>
    <w:p>
      <w:pPr>
        <w:numPr>
          <w:ilvl w:val="0"/>
          <w:numId w:val="2"/>
        </w:numPr>
        <w:spacing w:line="600" w:lineRule="exact"/>
        <w:ind w:firstLine="640" w:firstLineChars="20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对经济和社会的影响</w:t>
      </w:r>
    </w:p>
    <w:p>
      <w:pPr>
        <w:numPr>
          <w:ilvl w:val="0"/>
          <w:numId w:val="0"/>
        </w:numPr>
        <w:spacing w:line="600" w:lineRule="exact"/>
        <w:ind w:firstLine="64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经济效益：未设定经济效益</w:t>
      </w:r>
    </w:p>
    <w:p>
      <w:pPr>
        <w:numPr>
          <w:ilvl w:val="0"/>
          <w:numId w:val="0"/>
        </w:numPr>
        <w:spacing w:line="600" w:lineRule="exact"/>
        <w:ind w:firstLine="64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社会效益：同老干部们保持密切联系。</w:t>
      </w:r>
    </w:p>
    <w:p>
      <w:pPr>
        <w:numPr>
          <w:ilvl w:val="0"/>
          <w:numId w:val="0"/>
        </w:numPr>
        <w:spacing w:line="600" w:lineRule="exact"/>
        <w:ind w:firstLine="640"/>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生态效益：未设定生态效益。</w:t>
      </w:r>
    </w:p>
    <w:p>
      <w:pPr>
        <w:numPr>
          <w:ilvl w:val="0"/>
          <w:numId w:val="3"/>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社会满意度情况</w:t>
      </w:r>
    </w:p>
    <w:p>
      <w:pPr>
        <w:numPr>
          <w:ilvl w:val="0"/>
          <w:numId w:val="0"/>
        </w:numPr>
        <w:spacing w:line="600" w:lineRule="exact"/>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发挥本职效能，老干部满意程度：满意。</w:t>
      </w:r>
    </w:p>
    <w:p>
      <w:p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、部门（单位）整体支出绩效中存在问题及改进措施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（一）主要问题及原因分析</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预算执行进度不够及时，预算编制的精准度不够。</w:t>
      </w:r>
    </w:p>
    <w:p>
      <w:pPr>
        <w:numPr>
          <w:ilvl w:val="0"/>
          <w:numId w:val="4"/>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改进的方向和具体措施</w:t>
      </w:r>
    </w:p>
    <w:p>
      <w:pPr>
        <w:numPr>
          <w:ilvl w:val="0"/>
          <w:numId w:val="0"/>
        </w:numPr>
        <w:spacing w:line="600" w:lineRule="exact"/>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加强财务管理制度建设，完善单位内部财务管理制度，增强可执行性；强化部门预算编制的准确性和预算项目的可实施性，对资金使用和管理实施绩效管理，建立考核机制，实行动态管理，确保资金使用效益最大化。</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七、其它需要说明的情况</w:t>
      </w:r>
    </w:p>
    <w:p>
      <w:pPr>
        <w:ind w:firstLine="640" w:firstLineChars="200"/>
        <w:rPr>
          <w:rFonts w:hint="eastAsia" w:eastAsia="仿宋_GB2312"/>
          <w:lang w:eastAsia="zh-CN"/>
        </w:rPr>
      </w:pPr>
      <w:r>
        <w:rPr>
          <w:rFonts w:hint="eastAsia"/>
          <w:lang w:eastAsia="zh-CN"/>
        </w:rPr>
        <w:t>无。</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9DD4A"/>
    <w:multiLevelType w:val="singleLevel"/>
    <w:tmpl w:val="9309DD4A"/>
    <w:lvl w:ilvl="0" w:tentative="0">
      <w:start w:val="2"/>
      <w:numFmt w:val="chineseCounting"/>
      <w:suff w:val="nothing"/>
      <w:lvlText w:val="%1、"/>
      <w:lvlJc w:val="left"/>
      <w:rPr>
        <w:rFonts w:hint="eastAsia"/>
      </w:rPr>
    </w:lvl>
  </w:abstractNum>
  <w:abstractNum w:abstractNumId="1">
    <w:nsid w:val="D336D003"/>
    <w:multiLevelType w:val="singleLevel"/>
    <w:tmpl w:val="D336D003"/>
    <w:lvl w:ilvl="0" w:tentative="0">
      <w:start w:val="3"/>
      <w:numFmt w:val="chineseCounting"/>
      <w:suff w:val="nothing"/>
      <w:lvlText w:val="（%1）"/>
      <w:lvlJc w:val="left"/>
      <w:rPr>
        <w:rFonts w:hint="eastAsia"/>
      </w:rPr>
    </w:lvl>
  </w:abstractNum>
  <w:abstractNum w:abstractNumId="2">
    <w:nsid w:val="2DE7B27D"/>
    <w:multiLevelType w:val="singleLevel"/>
    <w:tmpl w:val="2DE7B27D"/>
    <w:lvl w:ilvl="0" w:tentative="0">
      <w:start w:val="2"/>
      <w:numFmt w:val="chineseCounting"/>
      <w:suff w:val="nothing"/>
      <w:lvlText w:val="（%1）"/>
      <w:lvlJc w:val="left"/>
      <w:rPr>
        <w:rFonts w:hint="eastAsia"/>
      </w:rPr>
    </w:lvl>
  </w:abstractNum>
  <w:abstractNum w:abstractNumId="3">
    <w:nsid w:val="656C1AC0"/>
    <w:multiLevelType w:val="singleLevel"/>
    <w:tmpl w:val="656C1AC0"/>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08865C9E"/>
    <w:rsid w:val="0763706A"/>
    <w:rsid w:val="08865C9E"/>
    <w:rsid w:val="253B33C8"/>
    <w:rsid w:val="3207744D"/>
    <w:rsid w:val="432772B0"/>
    <w:rsid w:val="46194D46"/>
    <w:rsid w:val="4CB55E41"/>
    <w:rsid w:val="53185DDE"/>
    <w:rsid w:val="585F4768"/>
    <w:rsid w:val="6813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textAlignment w:val="center"/>
    </w:pPr>
    <w:rPr>
      <w:rFonts w:hint="eastAsia" w:ascii="微软雅黑" w:hAnsi="微软雅黑" w:eastAsia="微软雅黑"/>
      <w:color w:val="000000"/>
      <w:kern w:val="0"/>
      <w:szCs w:val="21"/>
    </w:rPr>
  </w:style>
  <w:style w:type="character" w:customStyle="1" w:styleId="7">
    <w:name w:val="21"/>
    <w:basedOn w:val="6"/>
    <w:qFormat/>
    <w:uiPriority w:val="0"/>
    <w:rPr>
      <w:rFonts w:hint="default" w:ascii="Times New Roman"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2020-03-30T03:02:00Z</dcterms:created>
  <dc:creator>Administrator</dc:creator>
  <cp:lastModifiedBy>姣^o^</cp:lastModifiedBy>
  <cp:lastPrinted>2020-04-22T02:27:00Z</cp:lastPrinted>
  <dcterms:modified xsi:type="dcterms:W3CDTF">2023-12-18T07:13:30Z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24B55FC6CCFE4E8EADF717953FB1CF9B_12</vt:lpwstr>
  </property>
</Properties>
</file>