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widowControl/>
        <w:spacing w:line="510" w:lineRule="atLeas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目 录</w:t>
      </w:r>
    </w:p>
    <w:p>
      <w:pPr>
        <w:pStyle w:val="16"/>
        <w:widowControl/>
        <w:spacing w:line="510" w:lineRule="atLeast"/>
        <w:jc w:val="both"/>
        <w:rPr>
          <w:rFonts w:ascii="宋体" w:eastAsia="宋体" w:cs="宋体"/>
          <w:b/>
          <w:bCs/>
          <w:sz w:val="32"/>
          <w:szCs w:val="32"/>
        </w:rPr>
      </w:pPr>
      <w:r>
        <w:rPr>
          <w:sz w:val="24"/>
          <w:szCs w:val="24"/>
        </w:rPr>
        <w:t>　　</w:t>
      </w:r>
      <w:r>
        <w:rPr>
          <w:rFonts w:ascii="宋体" w:eastAsia="宋体" w:cs="宋体"/>
          <w:b/>
          <w:bCs/>
          <w:sz w:val="32"/>
          <w:szCs w:val="32"/>
        </w:rPr>
        <w:t>第一部分：</w:t>
      </w:r>
      <w:r>
        <w:rPr>
          <w:rFonts w:cs="宋体" w:hint="eastAsia"/>
          <w:b/>
          <w:bCs/>
          <w:sz w:val="32"/>
          <w:szCs w:val="32"/>
          <w:lang w:eastAsia="zh-CN"/>
        </w:rPr>
        <w:t>乌山街道2022</w:t>
      </w:r>
      <w:r>
        <w:rPr>
          <w:rFonts w:ascii="宋体" w:eastAsia="宋体" w:cs="宋体"/>
          <w:b/>
          <w:bCs/>
          <w:sz w:val="32"/>
          <w:szCs w:val="32"/>
        </w:rPr>
        <w:t>年部门预算说明</w:t>
      </w:r>
    </w:p>
    <w:p>
      <w:pPr>
        <w:pStyle w:val="16"/>
        <w:widowControl/>
        <w:spacing w:line="510" w:lineRule="atLeast"/>
        <w:ind w:firstLineChars="200" w:firstLine="480"/>
        <w:jc w:val="both"/>
        <w:rPr>
          <w:rFonts w:ascii="黑体" w:eastAsia="黑体"/>
          <w:color w:val="auto"/>
          <w:kern w:val="2"/>
          <w:sz w:val="32"/>
          <w:szCs w:val="32"/>
        </w:rPr>
      </w:pPr>
      <w:r>
        <w:rPr>
          <w:sz w:val="24"/>
          <w:szCs w:val="24"/>
        </w:rPr>
        <w:t> 　</w:t>
      </w: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</w:t>
      </w:r>
      <w:r>
        <w:rPr>
          <w:rFonts w:ascii="黑体" w:eastAsia="黑体"/>
          <w:color w:val="auto"/>
          <w:kern w:val="2"/>
          <w:sz w:val="32"/>
          <w:szCs w:val="32"/>
        </w:rPr>
        <w:t>一、部门基本概况 </w:t>
      </w:r>
    </w:p>
    <w:p>
      <w:pPr>
        <w:pStyle w:val="16"/>
        <w:widowControl/>
        <w:tabs>
          <w:tab w:val="left" w:pos="5040"/>
        </w:tabs>
        <w:spacing w:line="510" w:lineRule="atLeast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1、职能职责 </w:t>
        <w:tab/>
      </w:r>
      <w:bookmarkStart w:id="0" w:name="_GoBack"/>
      <w:bookmarkEnd w:id="0"/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2、机构设置 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黑体" w:eastAsia="黑体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</w:t>
      </w:r>
      <w:r>
        <w:rPr>
          <w:rFonts w:ascii="黑体" w:eastAsia="黑体"/>
          <w:color w:val="auto"/>
          <w:kern w:val="2"/>
          <w:sz w:val="32"/>
          <w:szCs w:val="32"/>
        </w:rPr>
        <w:t>二、部门预算单位构成 　　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黑体" w:eastAsia="黑体"/>
          <w:color w:val="auto"/>
          <w:kern w:val="2"/>
          <w:sz w:val="32"/>
          <w:szCs w:val="32"/>
        </w:rPr>
      </w:pPr>
      <w:r>
        <w:rPr>
          <w:rFonts w:ascii="黑体" w:eastAsia="黑体"/>
          <w:color w:val="auto"/>
          <w:kern w:val="2"/>
          <w:sz w:val="32"/>
          <w:szCs w:val="32"/>
        </w:rPr>
        <w:t>三、部门收支总体情况 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（一）收入预算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（二）支出预算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黑体" w:eastAsia="黑体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</w:t>
      </w:r>
      <w:r>
        <w:rPr>
          <w:rFonts w:ascii="黑体" w:eastAsia="黑体"/>
          <w:color w:val="auto"/>
          <w:kern w:val="2"/>
          <w:sz w:val="32"/>
          <w:szCs w:val="32"/>
        </w:rPr>
        <w:t>四、一般公共预算拨款支出预算 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（一）基本支出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（二）项目支出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</w:t>
      </w:r>
      <w:r>
        <w:rPr>
          <w:rFonts w:ascii="黑体" w:eastAsia="黑体"/>
          <w:color w:val="auto"/>
          <w:kern w:val="2"/>
          <w:sz w:val="32"/>
          <w:szCs w:val="32"/>
        </w:rPr>
        <w:t>五、其他重要事项的情况说明 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</w:t>
      </w:r>
      <w:r>
        <w:rPr>
          <w:rFonts w:ascii="楷体_GB2312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　　（二）“三公”经费预算 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　　（三）一般性支出情况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（四）政府采购</w:t>
      </w:r>
      <w:r>
        <w:rPr>
          <w:rFonts w:ascii="楷体_GB2312" w:eastAsia="楷体_GB2312" w:hint="eastAsia"/>
          <w:b/>
          <w:color w:val="auto"/>
          <w:kern w:val="2"/>
          <w:sz w:val="32"/>
          <w:szCs w:val="32"/>
          <w:lang w:eastAsia="zh-CN"/>
        </w:rPr>
        <w:t>及</w:t>
      </w:r>
      <w:r>
        <w:rPr>
          <w:rFonts w:ascii="楷体_GB2312" w:eastAsia="楷体_GB2312"/>
          <w:b/>
          <w:color w:val="auto"/>
          <w:kern w:val="2"/>
          <w:sz w:val="32"/>
          <w:szCs w:val="32"/>
        </w:rPr>
        <w:t>政府购买服务情况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（五）国有资产占用及新增资产配置情况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（六）预算绩效目标说明 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</w:t>
      </w:r>
      <w:r>
        <w:rPr>
          <w:rFonts w:ascii="黑体" w:eastAsia="黑体"/>
          <w:color w:val="auto"/>
          <w:kern w:val="2"/>
          <w:sz w:val="32"/>
          <w:szCs w:val="32"/>
        </w:rPr>
        <w:t>六、名词解释</w:t>
      </w: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 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auto"/>
          <w:kern w:val="2"/>
          <w:sz w:val="32"/>
          <w:szCs w:val="32"/>
        </w:rPr>
        <w:t>　　</w:t>
      </w:r>
      <w:r>
        <w:rPr>
          <w:rFonts w:ascii="楷体_GB2312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16"/>
        <w:widowControl/>
        <w:spacing w:line="510" w:lineRule="atLeast"/>
        <w:ind w:firstLineChars="400" w:firstLine="1280"/>
        <w:jc w:val="both"/>
        <w:rPr>
          <w:rFonts w:ascii="楷体_GB2312" w:eastAsia="楷体_GB2312"/>
          <w:b/>
          <w:color w:val="auto"/>
          <w:kern w:val="2"/>
          <w:sz w:val="32"/>
          <w:szCs w:val="32"/>
        </w:rPr>
      </w:pPr>
      <w:r>
        <w:rPr>
          <w:rFonts w:ascii="楷体_GB2312" w:eastAsia="楷体_GB2312"/>
          <w:b/>
          <w:color w:val="auto"/>
          <w:kern w:val="2"/>
          <w:sz w:val="32"/>
          <w:szCs w:val="32"/>
        </w:rPr>
        <w:t>（二）“三公”经费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b/>
          <w:sz w:val="24"/>
          <w:szCs w:val="24"/>
        </w:rPr>
      </w:pPr>
      <w:r>
        <w:rPr>
          <w:rFonts w:ascii="宋体" w:eastAsia="宋体" w:cs="宋体"/>
          <w:b/>
          <w:bCs/>
          <w:sz w:val="32"/>
          <w:szCs w:val="32"/>
        </w:rPr>
        <w:t>第二部分：</w:t>
      </w:r>
      <w:r>
        <w:rPr>
          <w:rFonts w:ascii="宋体" w:eastAsia="宋体" w:cs="宋体" w:hint="eastAsia"/>
          <w:b/>
          <w:bCs/>
          <w:sz w:val="32"/>
          <w:szCs w:val="32"/>
        </w:rPr>
        <w:t>乌山街道</w:t>
      </w:r>
      <w:r>
        <w:rPr>
          <w:rFonts w:cs="宋体" w:hint="eastAsia"/>
          <w:b/>
          <w:bCs/>
          <w:sz w:val="32"/>
          <w:szCs w:val="32"/>
          <w:lang w:eastAsia="zh-CN"/>
        </w:rPr>
        <w:t>2022</w:t>
      </w:r>
      <w:r>
        <w:rPr>
          <w:rFonts w:ascii="宋体" w:eastAsia="宋体" w:cs="宋体"/>
          <w:b/>
          <w:bCs/>
          <w:sz w:val="32"/>
          <w:szCs w:val="32"/>
        </w:rPr>
        <w:t>年度部门预算表</w:t>
      </w:r>
      <w:r>
        <w:rPr>
          <w:b/>
          <w:sz w:val="24"/>
          <w:szCs w:val="24"/>
        </w:rPr>
        <w:t> 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</w:t>
      </w:r>
      <w:r>
        <w:rPr>
          <w:rFonts w:eastAsia="仿宋_GB2312" w:hint="eastAsia"/>
          <w:color w:val="000000"/>
          <w:sz w:val="32"/>
          <w:szCs w:val="32"/>
        </w:rPr>
        <w:t>总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</w:t>
      </w:r>
      <w:r>
        <w:rPr>
          <w:rFonts w:eastAsia="仿宋_GB2312" w:hint="eastAsia"/>
          <w:color w:val="000000"/>
          <w:sz w:val="32"/>
          <w:szCs w:val="32"/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5、</w:t>
      </w:r>
      <w:r>
        <w:rPr>
          <w:rFonts w:eastAsia="仿宋_GB2312" w:hint="eastAsia"/>
          <w:color w:val="000000"/>
          <w:sz w:val="32"/>
          <w:szCs w:val="32"/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7、</w:t>
      </w:r>
      <w:r>
        <w:rPr>
          <w:rFonts w:ascii="宋体" w:eastAsia="宋体" w:cs="宋体"/>
          <w:color w:val="000000"/>
          <w:sz w:val="32"/>
          <w:szCs w:val="32"/>
        </w:rPr>
        <w:t>一般公共预算“三公”经费支出表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政府性基金预算支出表</w:t>
      </w: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</w:p>
    <w:p>
      <w:pPr>
        <w:pStyle w:val="16"/>
        <w:widowControl/>
        <w:spacing w:line="510" w:lineRule="atLeast"/>
        <w:ind w:firstLineChars="200" w:firstLine="640"/>
        <w:jc w:val="both"/>
        <w:rPr>
          <w:rFonts w:ascii="宋体" w:eastAsia="宋体" w:cs="宋体" w:hint="eastAsia"/>
          <w:b/>
          <w:bCs/>
          <w:sz w:val="32"/>
          <w:szCs w:val="32"/>
          <w:lang w:eastAsia="zh-CN"/>
        </w:rPr>
      </w:pPr>
      <w:r>
        <w:rPr>
          <w:rFonts w:ascii="宋体" w:eastAsia="宋体" w:cs="宋体" w:hint="eastAsia"/>
          <w:b/>
          <w:bCs/>
          <w:sz w:val="32"/>
          <w:szCs w:val="32"/>
          <w:lang w:eastAsia="zh-CN"/>
        </w:rPr>
        <w:t>第一部分</w:t>
      </w:r>
      <w:r>
        <w:rPr>
          <w:rFonts w:ascii="宋体" w:eastAsia="宋体" w:cs="宋体"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宋体" w:eastAsia="宋体" w:cs="宋体" w:hint="eastAsia"/>
          <w:b/>
          <w:bCs/>
          <w:sz w:val="32"/>
          <w:szCs w:val="32"/>
        </w:rPr>
        <w:t>乌山街道</w:t>
      </w:r>
      <w:r>
        <w:rPr>
          <w:rFonts w:cs="宋体" w:hint="eastAsia"/>
          <w:b/>
          <w:bCs/>
          <w:sz w:val="32"/>
          <w:szCs w:val="32"/>
          <w:lang w:eastAsia="zh-CN"/>
        </w:rPr>
        <w:t>2022</w:t>
      </w:r>
      <w:r>
        <w:rPr>
          <w:rFonts w:ascii="宋体" w:eastAsia="宋体" w:cs="宋体" w:hint="eastAsia"/>
          <w:b/>
          <w:bCs/>
          <w:sz w:val="32"/>
          <w:szCs w:val="32"/>
        </w:rPr>
        <w:t>年</w:t>
      </w:r>
      <w:r>
        <w:rPr>
          <w:rFonts w:ascii="宋体" w:eastAsia="宋体" w:cs="宋体" w:hint="eastAsia"/>
          <w:b/>
          <w:bCs/>
          <w:sz w:val="32"/>
          <w:szCs w:val="32"/>
          <w:lang w:eastAsia="zh-CN"/>
        </w:rPr>
        <w:t>部门</w:t>
      </w:r>
      <w:r>
        <w:rPr>
          <w:rFonts w:ascii="宋体" w:eastAsia="宋体" w:cs="宋体" w:hint="eastAsia"/>
          <w:b/>
          <w:bCs/>
          <w:sz w:val="32"/>
          <w:szCs w:val="32"/>
        </w:rPr>
        <w:t>预算</w:t>
      </w:r>
      <w:r>
        <w:rPr>
          <w:rFonts w:ascii="宋体" w:eastAsia="宋体" w:cs="宋体" w:hint="eastAsia"/>
          <w:b/>
          <w:bCs/>
          <w:sz w:val="32"/>
          <w:szCs w:val="32"/>
          <w:lang w:eastAsia="zh-CN"/>
        </w:rPr>
        <w:t>说明</w:t>
      </w:r>
    </w:p>
    <w:p>
      <w:pPr>
        <w:pStyle w:val="16"/>
        <w:widowControl/>
        <w:spacing w:line="510" w:lineRule="atLeas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　　一、街道基本概况</w:t>
      </w:r>
    </w:p>
    <w:p>
      <w:pPr>
        <w:pStyle w:val="16"/>
        <w:widowControl/>
        <w:spacing w:line="51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　　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、职能职责</w:t>
      </w:r>
    </w:p>
    <w:p>
      <w:pPr>
        <w:pStyle w:val="16"/>
        <w:widowControl/>
        <w:spacing w:line="51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　　（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）贯彻执行党和国家的路线方针、政策以及市、区关于街道工作方面的指示，制订具体的管理办法并组织实施。</w:t>
      </w:r>
    </w:p>
    <w:p>
      <w:pPr>
        <w:pStyle w:val="16"/>
        <w:widowControl/>
        <w:spacing w:line="51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　　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）指导、搞好辖区内村（社区）的工作，支持、帮助村（社区）加强思想、组织、制度建设，向上级人民政府和有关部门及时反映居民的意见、建议和要求。</w:t>
      </w:r>
    </w:p>
    <w:p>
      <w:pPr>
        <w:pStyle w:val="16"/>
        <w:widowControl/>
        <w:spacing w:line="51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　　（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）抓好村（社区）文化建设，开展文明街道、文明单位，文明小区建设活动，组织居民开展经常性的文化、娱乐、体育活动。</w:t>
      </w:r>
    </w:p>
    <w:p>
      <w:pPr>
        <w:pStyle w:val="16"/>
        <w:widowControl/>
        <w:spacing w:line="51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　　（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）负责街道的人民调解、治安保卫工作，加强对违法青少年的帮教转化，保护老人、妇女、儿童的合法权益。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　　（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）协助有关部门做好辖区拥军优属、优抚安置、社会救</w:t>
      </w:r>
      <w:r>
        <w:rPr>
          <w:rFonts w:ascii="仿宋_GB2312" w:eastAsia="仿宋_GB2312" w:hint="eastAsia"/>
          <w:color w:val="000000"/>
          <w:sz w:val="30"/>
          <w:szCs w:val="30"/>
        </w:rPr>
        <w:t>济、殡葬改革、残疾人就业等工作；积极开展便民利民的社区服务和社区教育工作。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6</w:t>
      </w:r>
      <w:r>
        <w:rPr>
          <w:rFonts w:ascii="仿宋_GB2312" w:eastAsia="仿宋_GB2312" w:hint="eastAsia"/>
          <w:color w:val="000000"/>
          <w:sz w:val="30"/>
          <w:szCs w:val="30"/>
        </w:rPr>
        <w:t>）会同有关部门做好辖区内常住和流动人口的管理及计划生育工作，完成区下达的各项计划生育指标任务。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7</w:t>
      </w:r>
      <w:r>
        <w:rPr>
          <w:rFonts w:ascii="仿宋_GB2312" w:eastAsia="仿宋_GB2312" w:hint="eastAsia"/>
          <w:color w:val="000000"/>
          <w:sz w:val="30"/>
          <w:szCs w:val="30"/>
        </w:rPr>
        <w:t>）协助武装部门做好辖区民兵训练和公民服兵役工作。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8</w:t>
      </w:r>
      <w:r>
        <w:rPr>
          <w:rFonts w:ascii="仿宋_GB2312" w:eastAsia="仿宋_GB2312" w:hint="eastAsia"/>
          <w:color w:val="000000"/>
          <w:sz w:val="30"/>
          <w:szCs w:val="30"/>
        </w:rPr>
        <w:t>）负责在辖区开展普法教育工作，做好民事调解，开展法律咨询、服务等工作，维护居民的合法权益，搞好辖区内社会管理综合治理工作。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9</w:t>
      </w:r>
      <w:r>
        <w:rPr>
          <w:rFonts w:ascii="仿宋_GB2312" w:eastAsia="仿宋_GB2312" w:hint="eastAsia"/>
          <w:color w:val="000000"/>
          <w:sz w:val="30"/>
          <w:szCs w:val="30"/>
        </w:rPr>
        <w:t>）负责本辖区的城市管理工作，发动群众开展爱国卫生运动，绿化、美化、净化城市环境，协助有关部门做好环境卫生、环境保护工作。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10</w:t>
      </w:r>
      <w:r>
        <w:rPr>
          <w:rFonts w:ascii="仿宋_GB2312" w:eastAsia="仿宋_GB2312" w:hint="eastAsia"/>
          <w:color w:val="000000"/>
          <w:sz w:val="30"/>
          <w:szCs w:val="30"/>
        </w:rPr>
        <w:t>）负责本辖区的综合执法工作，维护辖区的良好秩序。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11</w:t>
      </w:r>
      <w:r>
        <w:rPr>
          <w:rFonts w:ascii="仿宋_GB2312" w:eastAsia="仿宋_GB2312" w:hint="eastAsia"/>
          <w:color w:val="000000"/>
          <w:sz w:val="30"/>
          <w:szCs w:val="30"/>
        </w:rPr>
        <w:t>）负责研究辖区经济发展的规划，协助有关部门抓好安全生产工作。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12</w:t>
      </w:r>
      <w:r>
        <w:rPr>
          <w:rFonts w:ascii="仿宋_GB2312" w:eastAsia="仿宋_GB2312" w:hint="eastAsia"/>
          <w:color w:val="000000"/>
          <w:sz w:val="30"/>
          <w:szCs w:val="30"/>
        </w:rPr>
        <w:t>）配合有关部门做好辖区内的三防、抢险救灾、安全生产检查、居民迁移等工作。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（</w:t>
      </w:r>
      <w:r>
        <w:rPr>
          <w:rFonts w:ascii="仿宋_GB2312" w:eastAsia="仿宋_GB2312"/>
          <w:color w:val="000000"/>
          <w:sz w:val="30"/>
          <w:szCs w:val="30"/>
        </w:rPr>
        <w:t>13</w:t>
      </w:r>
      <w:r>
        <w:rPr>
          <w:rFonts w:ascii="仿宋_GB2312" w:eastAsia="仿宋_GB2312" w:hint="eastAsia"/>
          <w:color w:val="000000"/>
          <w:sz w:val="30"/>
          <w:szCs w:val="30"/>
        </w:rPr>
        <w:t>）承办区委、区政府交办的其他工作。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、机构设置</w:t>
      </w:r>
    </w:p>
    <w:p>
      <w:pPr>
        <w:pStyle w:val="16"/>
        <w:widowControl/>
        <w:spacing w:line="51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街道下设党政综合办公室及政务服务中心、基层党建办公室、纪工委办公室、经济发展办公室及财政所、城镇建设事务中心（一办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&lt;</w:t>
      </w:r>
      <w:r>
        <w:rPr>
          <w:rFonts w:ascii="仿宋_GB2312" w:eastAsia="仿宋_GB2312" w:hint="eastAsia"/>
          <w:color w:val="000000"/>
          <w:sz w:val="30"/>
          <w:szCs w:val="30"/>
        </w:rPr>
        <w:t>工程建设办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&gt;</w:t>
      </w:r>
      <w:r>
        <w:rPr>
          <w:rFonts w:ascii="仿宋_GB2312" w:eastAsia="仿宋_GB2312" w:hint="eastAsia"/>
          <w:color w:val="000000"/>
          <w:sz w:val="30"/>
          <w:szCs w:val="30"/>
        </w:rPr>
        <w:t>、二办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&lt;</w:t>
      </w:r>
      <w:r>
        <w:rPr>
          <w:rFonts w:ascii="仿宋_GB2312" w:eastAsia="仿宋_GB2312" w:hint="eastAsia"/>
          <w:color w:val="000000"/>
          <w:sz w:val="30"/>
          <w:szCs w:val="30"/>
        </w:rPr>
        <w:t>征拆办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&gt;</w:t>
      </w:r>
      <w:r>
        <w:rPr>
          <w:rFonts w:ascii="仿宋_GB2312" w:eastAsia="仿宋_GB2312" w:hint="eastAsia"/>
          <w:color w:val="000000"/>
          <w:sz w:val="30"/>
          <w:szCs w:val="30"/>
        </w:rPr>
        <w:t>）、公共服务办公室、自然资源和生态环境办公室、综合行政执法队、公共安全办公室、农业农村综合服务中心等</w:t>
      </w:r>
      <w:r>
        <w:rPr>
          <w:rFonts w:ascii="仿宋_GB2312" w:eastAsia="仿宋_GB2312"/>
          <w:color w:val="000000"/>
          <w:sz w:val="30"/>
          <w:szCs w:val="30"/>
        </w:rPr>
        <w:t>10</w:t>
      </w:r>
      <w:r>
        <w:rPr>
          <w:rFonts w:ascii="仿宋_GB2312" w:eastAsia="仿宋_GB2312" w:hint="eastAsia"/>
          <w:color w:val="000000"/>
          <w:sz w:val="30"/>
          <w:szCs w:val="30"/>
        </w:rPr>
        <w:t>个办线。</w:t>
      </w:r>
    </w:p>
    <w:p>
      <w:pPr>
        <w:pStyle w:val="16"/>
        <w:widowControl/>
        <w:spacing w:line="51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　　二、街道预算单位构成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纳入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年街道预算编制范围的机构包括：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、乌山街道机关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、归乌山街道管理的下属事业单位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下属单位为街道内设部门，收入和支出归口机关管理。</w:t>
      </w:r>
    </w:p>
    <w:p>
      <w:pPr>
        <w:pStyle w:val="16"/>
        <w:widowControl/>
        <w:spacing w:line="51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　　三、街道收支总体情况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我街道预算包括本级预算和所属单位预算在内的汇总情况。收入既包括一般公共预算收入、政府性基金收入和国有资本经营预算收入，又包括事业单位经营服务等收入；支出既包括保障机关及所属事业单位基本运行的经费，也包括归口管理、面向村（社区）分配的交通、水利、地质灾害等专项经费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（一）</w:t>
      </w:r>
      <w:r>
        <w:rPr>
          <w:rFonts w:ascii="仿宋_GB2312" w:eastAsia="仿宋_GB2312" w:hint="eastAsia"/>
          <w:color w:val="000000"/>
          <w:sz w:val="30"/>
          <w:szCs w:val="30"/>
        </w:rPr>
        <w:t>收入预算，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年年初预算数13452.5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万元，其中，一般公共预算拨款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12425.81</w:t>
      </w:r>
      <w:r>
        <w:rPr>
          <w:rFonts w:ascii="仿宋_GB2312" w:eastAsia="仿宋_GB2312" w:hint="eastAsia"/>
          <w:color w:val="000000"/>
          <w:sz w:val="30"/>
          <w:szCs w:val="30"/>
        </w:rPr>
        <w:t>万元，政府性基金预算拨款1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026.71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万元。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预算</w:t>
      </w:r>
      <w:r>
        <w:rPr>
          <w:rFonts w:ascii="仿宋_GB2312" w:eastAsia="仿宋_GB2312" w:hint="eastAsia"/>
          <w:color w:val="000000"/>
          <w:sz w:val="30"/>
          <w:szCs w:val="30"/>
        </w:rPr>
        <w:t>收入较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2021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增加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680.29</w:t>
      </w:r>
      <w:r>
        <w:rPr>
          <w:rFonts w:ascii="仿宋_GB2312" w:eastAsia="仿宋_GB2312"/>
          <w:color w:val="000000"/>
          <w:sz w:val="30"/>
          <w:szCs w:val="30"/>
          <w:lang w:val="en-US" w:eastAsia="zh-CN"/>
        </w:rPr>
        <w:t>万元，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增加5.33</w:t>
      </w:r>
      <w:r>
        <w:rPr>
          <w:rFonts w:ascii="仿宋_GB2312" w:eastAsia="仿宋_GB2312"/>
          <w:color w:val="000000"/>
          <w:sz w:val="30"/>
          <w:szCs w:val="30"/>
          <w:lang w:val="en-US" w:eastAsia="zh-CN"/>
        </w:rPr>
        <w:t>%。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主要原因是：民生项目资金增加。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10" w:lineRule="atLeast"/>
        <w:ind w:left="0" w:firstLine="0"/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</w:pP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（二</w:t>
      </w:r>
      <w:r>
        <w:rPr>
          <w:rFonts w:ascii="仿宋_GB2312" w:eastAsia="仿宋_GB2312" w:cs="Times New Roman" w:hint="eastAsia"/>
          <w:color w:val="000000"/>
          <w:kern w:val="2"/>
          <w:sz w:val="30"/>
          <w:szCs w:val="30"/>
          <w:lang w:val="en-US" w:eastAsia="zh-CN" w:bidi="ar-SA"/>
        </w:rPr>
        <w:t>）支出预算，2022年年初预算数13452.52万元，其中，一般公共服务支出4592.83万元，国防支出101.4万元，公共安全支出14.92万元，教育支出56万元，科学技术支出99万元，文化旅游体育与传媒支出82.95万元，社会保障和就业支出804.2万元，卫生健康支出329.08万元，节能环保支出290.82万元，城乡社区支出2255.3万元，农林水支出4296.03万元，交通运输支出86.27万元，资源勘探工业信息等支出25.6万元，商业服务业等支出11万元，住房保障支出</w:t>
        <w:tab/>
        <w:t>361.03万元，灾害防治及应急管理支出25万元，其他支出166万元。</w:t>
      </w:r>
      <w:r>
        <w:rPr>
          <w:rFonts w:ascii="仿宋_GB2312" w:eastAsia="仿宋_GB2312" w:hint="eastAsia"/>
          <w:color w:val="000000"/>
          <w:sz w:val="30"/>
          <w:szCs w:val="30"/>
        </w:rPr>
        <w:t>2022年预算支出较2021年增加680.29 万元，增加5.33%。主要原因是：民生项目资金增加。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ascii="宋体" w:eastAsia="宋体"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四、一般公共预算拨款支出预算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年一般公共预算拨款收入12425.81万元，具体安排情况如下：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（一）</w:t>
      </w:r>
      <w:r>
        <w:rPr>
          <w:rFonts w:ascii="仿宋_GB2312" w:eastAsia="仿宋_GB2312" w:hint="eastAsia"/>
          <w:color w:val="000000"/>
          <w:sz w:val="30"/>
          <w:szCs w:val="30"/>
        </w:rPr>
        <w:t>基本支出：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年年初预算数为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4084.59</w:t>
      </w:r>
      <w:r>
        <w:rPr>
          <w:rFonts w:ascii="仿宋_GB2312" w:eastAsia="仿宋_GB2312" w:hint="eastAsia"/>
          <w:color w:val="000000"/>
          <w:sz w:val="30"/>
          <w:szCs w:val="30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16"/>
        <w:widowControl/>
        <w:spacing w:line="510" w:lineRule="atLeast"/>
        <w:ind w:firstLine="600"/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（二）</w:t>
      </w:r>
      <w:r>
        <w:rPr>
          <w:rFonts w:ascii="仿宋_GB2312" w:eastAsia="仿宋_GB2312" w:hint="eastAsia"/>
          <w:color w:val="000000"/>
          <w:sz w:val="30"/>
          <w:szCs w:val="30"/>
        </w:rPr>
        <w:t>项目支出：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年年初预算数为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8341.22</w:t>
      </w:r>
      <w:r>
        <w:rPr>
          <w:rFonts w:ascii="仿宋_GB2312" w:eastAsia="仿宋_GB2312" w:hint="eastAsia"/>
          <w:color w:val="000000"/>
          <w:sz w:val="30"/>
          <w:szCs w:val="30"/>
        </w:rPr>
        <w:t>万元，是指单位为完成特定行政工作任务或事业发展目标而发生的支出，包括有关事业发展专项、专项业务费、基本建设支出、对村（社区）专项补助等。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其中：一般公共服务支出</w:t>
      </w:r>
      <w:r>
        <w:rPr>
          <w:rFonts w:ascii="仿宋_GB2312" w:eastAsia="仿宋_GB2312" w:hint="eastAsia"/>
          <w:color w:val="000000"/>
          <w:sz w:val="30"/>
          <w:szCs w:val="30"/>
        </w:rPr>
        <w:t>1184.09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万元，主要用于机关的维修改造、宣传广告、两美创建等；国防支出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101.40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万元，主要用于国防教育等方面；公共安全支出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14.92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万元，主要用于公共安全办协调维稳等方面；教育支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56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万元，主要用于义务教育学校补助；科学技术支出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99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万元，主要用于企业奖补等方面；文化体育与传媒支出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82.95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万元，主要用于群众文化体育等方面；社会保障和就业支出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405.24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万元，主要用于社会保障工作等方面；卫生健康支出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222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万元，主要用于突发的公共卫生的物资、防控、劳务、宣传等方面；节能环保支出</w:t>
      </w:r>
      <w:r>
        <w:rPr>
          <w:rFonts w:ascii="仿宋_GB2312" w:eastAsia="仿宋_GB2312" w:hint="eastAsia"/>
          <w:color w:val="000000"/>
          <w:sz w:val="30"/>
          <w:szCs w:val="30"/>
        </w:rPr>
        <w:t>290.82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万元，主要用于环境保护及治理、农村改厕等方面；城乡社区支出</w:t>
      </w:r>
      <w:r>
        <w:rPr>
          <w:rFonts w:ascii="仿宋_GB2312" w:eastAsia="仿宋_GB2312" w:hint="eastAsia"/>
          <w:color w:val="000000"/>
          <w:sz w:val="30"/>
          <w:szCs w:val="30"/>
        </w:rPr>
        <w:t>1448.59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万元，主要用于垃圾分类、垃圾清运、城市治理等方面；农林水支出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4221.03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万元，主要用于美丽宜居村庄建设、农村基础设施建设、转移支付等方面；交通运输支出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86.27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万元，资源勘探工业信息等支出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25.6万元，商业服务业等支出11万元，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住房保障支出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67.3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万元，灾害防治及应急管理支出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cs="宋体" w:hint="eastAsia"/>
          <w:i w:val="0"/>
          <w:caps w:val="0"/>
          <w:small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万元，主要用于公路建设维护、企业发展、危房改造以及其他等方面。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lang w:eastAsia="zh-CN"/>
        </w:rPr>
        <w:t>（一）</w:t>
      </w:r>
      <w:r>
        <w:rPr>
          <w:rFonts w:eastAsia="仿宋_GB2312" w:hint="eastAsia"/>
          <w:color w:val="000000"/>
          <w:sz w:val="32"/>
          <w:szCs w:val="32"/>
        </w:rPr>
        <w:t>机关运行经费</w:t>
      </w:r>
    </w:p>
    <w:p>
      <w:pPr>
        <w:widowControl/>
        <w:spacing w:line="600" w:lineRule="exact"/>
        <w:ind w:firstLine="6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lang w:eastAsia="zh-CN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年本级等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2"/>
          <w:szCs w:val="32"/>
        </w:rPr>
        <w:t>家行政事业单位的机关运行经费当年一般公共预算拨款</w:t>
      </w:r>
      <w:r>
        <w:rPr>
          <w:rFonts w:eastAsia="仿宋_GB2312" w:hint="eastAsia"/>
          <w:color w:val="000000"/>
          <w:sz w:val="32"/>
          <w:szCs w:val="32"/>
          <w:lang w:val="en-US" w:eastAsia="zh-CN"/>
        </w:rPr>
        <w:t>583.5</w:t>
      </w:r>
      <w:r>
        <w:rPr>
          <w:rFonts w:eastAsia="仿宋_GB2312" w:hint="eastAsia"/>
          <w:color w:val="000000"/>
          <w:sz w:val="32"/>
          <w:szCs w:val="32"/>
        </w:rPr>
        <w:t>万元，比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年预算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增加</w:t>
      </w:r>
      <w:r>
        <w:rPr>
          <w:rFonts w:eastAsia="仿宋_GB2312" w:hint="eastAsia"/>
          <w:color w:val="000000"/>
          <w:sz w:val="32"/>
          <w:szCs w:val="32"/>
          <w:lang w:val="en-US" w:eastAsia="zh-CN"/>
        </w:rPr>
        <w:t>130.26</w:t>
      </w:r>
      <w:r>
        <w:rPr>
          <w:rFonts w:eastAsia="仿宋_GB2312" w:hint="eastAsia"/>
          <w:color w:val="000000"/>
          <w:sz w:val="32"/>
          <w:szCs w:val="32"/>
        </w:rPr>
        <w:t>万元，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主要是城管执法用车租赁费用增加，城管人员下放街道后日常管理经费增加，机关办公用房维修维护等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 w:hint="eastAsia"/>
          <w:color w:val="000000"/>
          <w:sz w:val="32"/>
          <w:szCs w:val="32"/>
          <w:lang w:eastAsia="zh-CN"/>
        </w:rPr>
      </w:pPr>
      <w:r>
        <w:rPr>
          <w:rFonts w:eastAsia="仿宋_GB2312" w:hint="eastAsia"/>
          <w:color w:val="000000"/>
          <w:sz w:val="32"/>
          <w:szCs w:val="32"/>
          <w:lang w:eastAsia="zh-CN"/>
        </w:rPr>
        <w:t>（二）“三公”经费预算</w:t>
      </w:r>
    </w:p>
    <w:p>
      <w:pPr>
        <w:pStyle w:val="16"/>
        <w:widowControl/>
        <w:spacing w:line="510" w:lineRule="atLeas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年“三公”经费预算数为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15</w:t>
      </w:r>
      <w:r>
        <w:rPr>
          <w:rFonts w:ascii="仿宋_GB2312" w:eastAsia="仿宋_GB2312" w:hint="eastAsia"/>
          <w:color w:val="000000"/>
          <w:sz w:val="30"/>
          <w:szCs w:val="30"/>
        </w:rPr>
        <w:t>万元，其中，公务接待费</w:t>
      </w:r>
      <w:r>
        <w:rPr>
          <w:rFonts w:ascii="仿宋_GB2312" w:eastAsia="仿宋_GB2312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万元，公务用车购置及运行费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万元（其中，公务用车购置费</w:t>
      </w:r>
      <w:r>
        <w:rPr>
          <w:rFonts w:ascii="仿宋_GB2312" w:eastAsia="仿宋_GB2312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万元，公务用车运行费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15</w:t>
      </w:r>
      <w:r>
        <w:rPr>
          <w:rFonts w:ascii="仿宋_GB2312" w:eastAsia="仿宋_GB2312" w:hint="eastAsia"/>
          <w:color w:val="000000"/>
          <w:sz w:val="30"/>
          <w:szCs w:val="30"/>
        </w:rPr>
        <w:t>万元</w:t>
      </w:r>
      <w:r>
        <w:rPr>
          <w:rFonts w:ascii="仿宋_GB2312" w:eastAsia="仿宋_GB2312"/>
          <w:color w:val="000000"/>
          <w:sz w:val="30"/>
          <w:szCs w:val="30"/>
        </w:rPr>
        <w:t>,</w:t>
      </w:r>
      <w:r>
        <w:rPr>
          <w:rFonts w:ascii="仿宋_GB2312" w:eastAsia="仿宋_GB2312" w:hint="eastAsia"/>
          <w:color w:val="000000"/>
          <w:sz w:val="30"/>
          <w:szCs w:val="30"/>
        </w:rPr>
        <w:t>因公出国（境）费</w:t>
      </w:r>
      <w:r>
        <w:rPr>
          <w:rFonts w:ascii="仿宋_GB2312" w:eastAsia="仿宋_GB2312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与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2021年度持平。</w:t>
      </w:r>
    </w:p>
    <w:p>
      <w:pPr>
        <w:widowControl/>
        <w:spacing w:line="600" w:lineRule="exact"/>
        <w:ind w:firstLine="660"/>
        <w:jc w:val="left"/>
        <w:rPr>
          <w:rFonts w:eastAsia="仿宋_GB2312" w:hint="eastAsia"/>
          <w:color w:val="000000"/>
          <w:sz w:val="32"/>
          <w:szCs w:val="32"/>
          <w:lang w:eastAsia="zh-CN"/>
        </w:rPr>
      </w:pPr>
      <w:r>
        <w:rPr>
          <w:rFonts w:eastAsia="仿宋_GB2312" w:hint="eastAsia"/>
          <w:color w:val="000000"/>
          <w:sz w:val="32"/>
          <w:szCs w:val="32"/>
          <w:lang w:eastAsia="zh-CN"/>
        </w:rPr>
        <w:t>（三）一般性支出情况</w:t>
      </w:r>
    </w:p>
    <w:p>
      <w:pPr>
        <w:pStyle w:val="16"/>
        <w:widowControl/>
        <w:spacing w:line="510" w:lineRule="atLeast"/>
        <w:ind w:firstLine="600"/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</w:pP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一般性支出645.29 万元，其中办公费153.39万元，水费6.2万元,电费45 万元，物业管理费13 万元，因公出国（境）费用0.00 万元，维修（护）费22.55 万元，会议费5.45万元，培训费1.75万元，公务接待费0.00万元，专用材料费80万元，劳务费56.05万元，委托业务费9.86万元，其他交通费71.84万元，公务用车运行维护费15万，其他商品和服务支出19.41万元。</w:t>
      </w:r>
    </w:p>
    <w:p>
      <w:pPr>
        <w:widowControl/>
        <w:spacing w:line="600" w:lineRule="exact"/>
        <w:ind w:firstLine="6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lang w:val="en-US" w:eastAsia="zh-CN"/>
        </w:rPr>
        <w:t>（四）</w:t>
      </w:r>
      <w:r>
        <w:rPr>
          <w:rFonts w:eastAsia="仿宋_GB2312" w:hint="eastAsia"/>
          <w:color w:val="000000"/>
          <w:sz w:val="32"/>
          <w:szCs w:val="32"/>
        </w:rPr>
        <w:t>政府采购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及</w:t>
      </w:r>
      <w:r>
        <w:rPr>
          <w:rFonts w:eastAsia="仿宋_GB2312" w:hint="eastAsia"/>
          <w:color w:val="000000"/>
          <w:sz w:val="32"/>
          <w:szCs w:val="32"/>
        </w:rPr>
        <w:t>政府购买服务情况</w:t>
      </w:r>
    </w:p>
    <w:p>
      <w:pPr>
        <w:widowControl/>
        <w:spacing w:line="600" w:lineRule="exact"/>
        <w:ind w:firstLine="6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lang w:eastAsia="zh-CN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年乌山街道办事处机关政府采购预算总额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25</w:t>
      </w:r>
      <w:r>
        <w:rPr>
          <w:rFonts w:ascii="仿宋_GB2312" w:eastAsia="仿宋_GB2312"/>
          <w:color w:val="000000"/>
          <w:sz w:val="30"/>
          <w:szCs w:val="30"/>
        </w:rPr>
        <w:t>0</w:t>
      </w:r>
      <w:r>
        <w:rPr>
          <w:rFonts w:eastAsia="仿宋_GB2312" w:hint="eastAsia"/>
          <w:color w:val="000000"/>
          <w:sz w:val="32"/>
          <w:szCs w:val="32"/>
        </w:rPr>
        <w:t>万元，其中，一般公共预算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25</w:t>
      </w:r>
      <w:r>
        <w:rPr>
          <w:rFonts w:ascii="仿宋_GB2312" w:eastAsia="仿宋_GB2312"/>
          <w:color w:val="000000"/>
          <w:sz w:val="30"/>
          <w:szCs w:val="30"/>
        </w:rPr>
        <w:t>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 w:hint="eastAsia"/>
          <w:color w:val="000000"/>
          <w:sz w:val="32"/>
          <w:szCs w:val="32"/>
          <w:lang w:val="en-US" w:eastAsia="zh-CN"/>
        </w:rPr>
      </w:pPr>
      <w:r>
        <w:rPr>
          <w:rFonts w:eastAsia="仿宋_GB2312" w:hint="eastAsia"/>
          <w:color w:val="000000"/>
          <w:sz w:val="32"/>
          <w:szCs w:val="32"/>
          <w:lang w:val="en-US" w:eastAsia="zh-CN"/>
        </w:rPr>
        <w:t>（五）国有资产占用及新增资产配置情况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textAlignment w:val="center"/>
        <w:rPr>
          <w:rFonts w:eastAsia="仿宋_GB2312" w:hint="eastAsia"/>
          <w:color w:val="000000"/>
          <w:sz w:val="32"/>
          <w:szCs w:val="32"/>
          <w:lang w:val="en-US" w:eastAsia="zh-CN"/>
        </w:rPr>
      </w:pPr>
      <w:r>
        <w:rPr>
          <w:rFonts w:eastAsia="仿宋_GB2312" w:hint="eastAsia"/>
          <w:color w:val="000000"/>
          <w:sz w:val="32"/>
          <w:szCs w:val="32"/>
        </w:rPr>
        <w:t>截至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年12月31日，</w:t>
      </w:r>
      <w:r>
        <w:rPr>
          <w:rFonts w:eastAsia="仿宋_GB2312" w:hint="eastAsia"/>
          <w:color w:val="000000"/>
          <w:sz w:val="32"/>
          <w:szCs w:val="32"/>
          <w:lang w:val="en-US" w:eastAsia="zh-CN"/>
        </w:rPr>
        <w:t>我单位开支财政拨款的公务用车保有量为0辆，有使用权的车辆2辆。</w:t>
      </w:r>
      <w:r>
        <w:rPr>
          <w:rFonts w:eastAsia="仿宋_GB2312" w:hint="eastAsia"/>
          <w:color w:val="000000"/>
          <w:sz w:val="32"/>
          <w:szCs w:val="32"/>
        </w:rPr>
        <w:t>本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单位</w:t>
      </w:r>
      <w:r>
        <w:rPr>
          <w:rFonts w:eastAsia="仿宋_GB2312" w:hint="eastAsia"/>
          <w:color w:val="000000"/>
          <w:sz w:val="32"/>
          <w:szCs w:val="32"/>
        </w:rPr>
        <w:t>原有公务用车全部上缴机关事务局处置，街道用车统一由机关事务局调配。预计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年无新增资产配置。</w:t>
      </w:r>
    </w:p>
    <w:p>
      <w:pPr>
        <w:widowControl/>
        <w:spacing w:line="600" w:lineRule="exact"/>
        <w:ind w:firstLine="660"/>
        <w:rPr>
          <w:rFonts w:eastAsia="仿宋_GB2312" w:hint="eastAsia"/>
          <w:color w:val="000000"/>
          <w:sz w:val="32"/>
          <w:szCs w:val="32"/>
          <w:lang w:val="en-US" w:eastAsia="zh-CN"/>
        </w:rPr>
      </w:pPr>
      <w:r>
        <w:rPr>
          <w:rFonts w:eastAsia="仿宋_GB2312" w:hint="eastAsia"/>
          <w:color w:val="000000"/>
          <w:sz w:val="32"/>
          <w:szCs w:val="32"/>
          <w:lang w:val="en-US" w:eastAsia="zh-CN"/>
        </w:rPr>
        <w:t>（六）预算绩效目标说明 </w:t>
      </w:r>
    </w:p>
    <w:p>
      <w:pPr>
        <w:widowControl/>
        <w:spacing w:line="600" w:lineRule="exact"/>
        <w:ind w:firstLine="660"/>
        <w:rPr>
          <w:rFonts w:eastAsia="仿宋_GB2312" w:hint="eastAsia"/>
          <w:color w:val="000000"/>
          <w:sz w:val="32"/>
          <w:szCs w:val="32"/>
          <w:lang w:val="en-US" w:eastAsia="zh-CN"/>
        </w:rPr>
      </w:pPr>
      <w:r>
        <w:rPr>
          <w:rFonts w:eastAsia="仿宋_GB2312" w:hint="eastAsia"/>
          <w:color w:val="000000"/>
          <w:sz w:val="32"/>
          <w:szCs w:val="32"/>
        </w:rPr>
        <w:t>按照预算绩效管理工作的总体要求，</w:t>
      </w:r>
      <w:r>
        <w:rPr>
          <w:rFonts w:eastAsia="仿宋_GB2312" w:hint="eastAsia"/>
          <w:color w:val="000000"/>
          <w:sz w:val="32"/>
          <w:szCs w:val="32"/>
          <w:lang w:eastAsia="zh-CN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年街道未编报绩效目标项目。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六、名词解释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16"/>
        <w:widowControl/>
        <w:spacing w:line="51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</w:t>
      </w:r>
    </w:p>
    <w:p>
      <w:pPr>
        <w:widowControl/>
        <w:spacing w:line="600" w:lineRule="exact"/>
        <w:jc w:val="left"/>
        <w:rPr>
          <w:rFonts w:ascii="Times New Roman" w:eastAsia="宋体" w:hAnsi="Times New Roman"/>
          <w:bCs/>
          <w:color w:val="000000"/>
        </w:rPr>
      </w:pPr>
      <w:r>
        <w:rPr>
          <w:rFonts w:eastAsia="黑体"/>
          <w:color w:val="000000"/>
          <w:sz w:val="32"/>
          <w:szCs w:val="32"/>
        </w:rPr>
        <w:t>第二部分</w:t>
      </w:r>
      <w:r>
        <w:rPr>
          <w:rFonts w:eastAsia="黑体"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黑体" w:hint="eastAsia"/>
          <w:color w:val="000000"/>
          <w:sz w:val="32"/>
          <w:szCs w:val="32"/>
          <w:lang w:eastAsia="zh-CN"/>
        </w:rPr>
        <w:t>乌山街道2022</w:t>
      </w:r>
      <w:r>
        <w:rPr>
          <w:rFonts w:eastAsia="黑体"/>
          <w:color w:val="000000"/>
          <w:sz w:val="32"/>
          <w:szCs w:val="32"/>
        </w:rPr>
        <w:t>年度部门预算表</w:t>
      </w:r>
      <w:r>
        <w:rPr>
          <w:rFonts w:ascii="Times New Roman" w:eastAsia="宋体" w:hAnsi="Times New Roman"/>
          <w:bCs/>
          <w:color w:val="000000"/>
        </w:rPr>
        <w:t>（详见附件表格）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</w:t>
      </w:r>
      <w:r>
        <w:rPr>
          <w:rFonts w:eastAsia="仿宋_GB2312" w:hint="eastAsia"/>
          <w:color w:val="000000"/>
          <w:sz w:val="32"/>
          <w:szCs w:val="32"/>
        </w:rPr>
        <w:t>总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</w:t>
      </w:r>
      <w:r>
        <w:rPr>
          <w:rFonts w:eastAsia="仿宋_GB2312" w:hint="eastAsia"/>
          <w:color w:val="000000"/>
          <w:sz w:val="32"/>
          <w:szCs w:val="32"/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5、</w:t>
      </w:r>
      <w:r>
        <w:rPr>
          <w:rFonts w:eastAsia="仿宋_GB2312" w:hint="eastAsia"/>
          <w:color w:val="000000"/>
          <w:sz w:val="32"/>
          <w:szCs w:val="32"/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7、</w:t>
      </w:r>
      <w:r>
        <w:rPr>
          <w:rFonts w:ascii="宋体" w:eastAsia="宋体" w:cs="宋体"/>
          <w:color w:val="000000"/>
          <w:sz w:val="32"/>
          <w:szCs w:val="32"/>
        </w:rPr>
        <w:t>一般公共预算“三公”经费支出表</w:t>
      </w:r>
    </w:p>
    <w:p>
      <w:pPr>
        <w:widowControl/>
        <w:spacing w:line="600" w:lineRule="exact"/>
        <w:ind w:firstLine="63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政府性基金预算支出表</w:t>
      </w:r>
    </w:p>
    <w:p>
      <w:pPr>
        <w:pStyle w:val="16"/>
        <w:widowControl/>
        <w:spacing w:line="510" w:lineRule="atLeas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望城区乌山街道办事处</w:t>
      </w:r>
    </w:p>
    <w:p>
      <w:pPr>
        <w:pStyle w:val="16"/>
        <w:widowControl/>
        <w:spacing w:line="510" w:lineRule="atLeas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　　</w:t>
      </w:r>
      <w:r>
        <w:rPr>
          <w:rFonts w:ascii="仿宋_GB2312" w:eastAsia="仿宋_GB2312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  <w:lang w:val="en-US" w:eastAsia="zh-CN"/>
        </w:rPr>
        <w:t>21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>
      <w:pPr>
        <w:widowControl/>
        <w:spacing w:before="300"/>
        <w:jc w:val="left"/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ascii="仿宋_GB2312" w:eastAsia="仿宋_GB2312" w:cs="宋体" w:hint="eastAsia"/>
          <w:color w:val="000000"/>
          <w:sz w:val="30"/>
          <w:szCs w:val="30"/>
        </w:rPr>
        <w:t>相关附件下载：</w:t>
      </w:r>
      <w:r>
        <w:rPr>
          <w:rFonts w:ascii="仿宋_GB2312" w:eastAsia="仿宋_GB2312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cs="宋体" w:hint="eastAsia"/>
          <w:color w:val="000000"/>
          <w:sz w:val="30"/>
          <w:szCs w:val="30"/>
        </w:rPr>
        <w:fldChar w:fldCharType="begin"/>
      </w:r>
      <w:r>
        <w:instrText>HYPERLINK "http://www.wangcheng.gov.cn/xxgk_343/jd/gtljd/czxx_6201/czyjs_6202/201804/P020180418321709766258.xls"</w:instrText>
      </w:r>
      <w:r>
        <w:rPr>
          <w:rFonts w:ascii="仿宋_GB2312" w:eastAsia="仿宋_GB2312" w:cs="宋体" w:hint="eastAsia"/>
          <w:color w:val="000000"/>
          <w:sz w:val="30"/>
          <w:szCs w:val="30"/>
        </w:rPr>
        <w:fldChar w:fldCharType="separate"/>
      </w:r>
      <w:r>
        <w:rPr>
          <w:rFonts w:ascii="仿宋_GB2312" w:eastAsia="仿宋_GB2312" w:cs="宋体" w:hint="eastAsia"/>
          <w:color w:val="000000"/>
          <w:sz w:val="30"/>
          <w:szCs w:val="30"/>
        </w:rPr>
        <w:t>乌山街道</w:t>
      </w:r>
      <w:r>
        <w:rPr>
          <w:rFonts w:ascii="仿宋_GB2312" w:eastAsia="仿宋_GB2312" w:cs="宋体" w:hint="eastAsia"/>
          <w:color w:val="000000"/>
          <w:sz w:val="30"/>
          <w:szCs w:val="30"/>
          <w:lang w:eastAsia="zh-CN"/>
        </w:rPr>
        <w:t>2022</w:t>
      </w:r>
      <w:r>
        <w:rPr>
          <w:rFonts w:ascii="仿宋_GB2312" w:eastAsia="仿宋_GB2312" w:cs="宋体" w:hint="eastAsia"/>
          <w:color w:val="000000"/>
          <w:sz w:val="30"/>
          <w:szCs w:val="30"/>
        </w:rPr>
        <w:t>年预算公开表</w:t>
      </w:r>
      <w:r>
        <w:rPr>
          <w:rFonts w:ascii="仿宋_GB2312" w:eastAsia="仿宋_GB2312" w:cs="宋体"/>
          <w:color w:val="000000"/>
          <w:sz w:val="30"/>
          <w:szCs w:val="30"/>
        </w:rPr>
        <w:t>.xls</w:t>
      </w:r>
      <w:r>
        <w:rPr>
          <w:rFonts w:ascii="仿宋_GB2312" w:eastAsia="仿宋_GB2312" w:cs="宋体" w:hint="eastAsia"/>
          <w:color w:val="000000"/>
          <w:sz w:val="30"/>
          <w:szCs w:val="30"/>
        </w:rPr>
        <w:fldChar w:fldCharType="end"/>
      </w:r>
      <w:r>
        <w:rPr>
          <w:rFonts w:ascii="仿宋_GB2312" w:eastAsia="仿宋_GB2312" w:cs="宋体"/>
          <w:color w:val="000000"/>
          <w:sz w:val="30"/>
          <w:szCs w:val="30"/>
        </w:rPr>
        <w:t xml:space="preserve"> </w:t>
      </w:r>
    </w:p>
    <w:p>
      <w:pPr>
        <w:rPr>
          <w:rFonts w:ascii="仿宋_GB2312" w:eastAsia="仿宋_GB2312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720" w:footer="72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drawingGridHorizontalSpacing w:val="0"/>
  <w:drawingGridVerticalSpacing w:val="156"/>
  <w:displayHorizontalDrawingGridEvery w:val="1"/>
  <w:displayVerticalDrawingGridEvery w:val="1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ExpandShiftReturn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rFonts w:ascii="Times New Roman" w:hAnsi="Times New Roman"/>
      <w:sz w:val="18"/>
      <w:szCs w:val="18"/>
    </w:rPr>
  </w:style>
  <w:style w:type="paragraph" w:styleId="16">
    <w:name w:val="Normal (Web)"/>
    <w:basedOn w:val="0"/>
    <w:pPr>
      <w:jc w:val="left"/>
    </w:pPr>
    <w:rPr>
      <w:rFonts w:ascii="宋体"/>
      <w:color w:val="262626"/>
      <w:szCs w:val="21"/>
    </w:rPr>
  </w:style>
  <w:style w:type="character" w:styleId="17">
    <w:name w:val="FollowedHyperlink"/>
    <w:basedOn w:val="10"/>
    <w:rPr>
      <w:rFonts w:cs="Times New Roman"/>
      <w:color w:val="4C4C4C"/>
      <w:u w:val="none"/>
    </w:rPr>
  </w:style>
  <w:style w:type="character" w:styleId="18">
    <w:name w:val="Emphasis"/>
    <w:basedOn w:val="10"/>
    <w:rPr>
      <w:rFonts w:cs="Times New Roman"/>
    </w:rPr>
  </w:style>
  <w:style w:type="character" w:styleId="19">
    <w:name w:val="HTML Definition"/>
    <w:basedOn w:val="10"/>
    <w:rPr>
      <w:rFonts w:cs="Times New Roman"/>
    </w:rPr>
  </w:style>
  <w:style w:type="character" w:styleId="20">
    <w:name w:val="HTML Acronym"/>
    <w:basedOn w:val="10"/>
    <w:rPr>
      <w:rFonts w:cs="Times New Roman"/>
    </w:rPr>
  </w:style>
  <w:style w:type="character" w:styleId="21">
    <w:name w:val="HTML Variable"/>
    <w:basedOn w:val="10"/>
    <w:rPr>
      <w:rFonts w:cs="Times New Roman"/>
    </w:rPr>
  </w:style>
  <w:style w:type="character" w:styleId="22">
    <w:name w:val="Hyperlink"/>
    <w:basedOn w:val="10"/>
    <w:rPr>
      <w:rFonts w:cs="Times New Roman"/>
      <w:color w:val="4C4C4C"/>
      <w:u w:val="none"/>
    </w:rPr>
  </w:style>
  <w:style w:type="character" w:styleId="23">
    <w:name w:val="HTML Code"/>
    <w:basedOn w:val="10"/>
    <w:rPr>
      <w:rFonts w:ascii="宋体" w:eastAsia="宋体" w:cs="Times New Roman"/>
      <w:color w:val="262626"/>
      <w:sz w:val="21"/>
    </w:rPr>
  </w:style>
  <w:style w:type="character" w:styleId="24">
    <w:name w:val="HTML Cite"/>
    <w:basedOn w:val="10"/>
    <w:rPr>
      <w:rFonts w:cs="Times New Roman"/>
    </w:rPr>
  </w:style>
  <w:style w:type="character" w:customStyle="1" w:styleId="25">
    <w:name w:val="span-bg"/>
  </w:style>
  <w:style w:type="character" w:customStyle="1" w:styleId="26">
    <w:name w:val="span-hover"/>
  </w:style>
  <w:style w:type="character" w:customStyle="1" w:styleId="27">
    <w:name w:val="批注框文本 Char"/>
    <w:rPr>
      <w:rFonts w:ascii="Times New Roman" w:hAnsi="Times New Roman"/>
      <w:kern w:val="0"/>
      <w:sz w:val="18"/>
    </w:rPr>
  </w:style>
  <w:style w:type="character" w:customStyle="1" w:styleId="28">
    <w:name w:val="批注框文本 Char1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77276AE7-1692-4A26-8AB5-6CB3CE9F29AC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10</TotalTime>
  <Application>Yozo_Office27021597764231179</Application>
  <Pages>8</Pages>
  <Words>3256</Words>
  <Characters>3586</Characters>
  <Lines>199</Lines>
  <Paragraphs>90</Paragraphs>
  <CharactersWithSpaces>3710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24</cp:revision>
  <dcterms:created xsi:type="dcterms:W3CDTF">2014-10-29T12:08:00Z</dcterms:created>
  <dcterms:modified xsi:type="dcterms:W3CDTF">2022-01-21T05:51:15Z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2052-10.1.0.7224</vt:lpwstr>
  </property>
</Properties>
</file>