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长沙市望城区20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年财政预算预计执行情况与202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年财政预算草案的报告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——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在长沙市望城区第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届人民代表大会第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次会议上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长沙市望城</w:t>
      </w:r>
      <w:r>
        <w:rPr>
          <w:rFonts w:hint="default" w:ascii="Times New Roman" w:hAnsi="Times New Roman" w:eastAsia="楷体_GB2312" w:cs="Times New Roman"/>
          <w:sz w:val="32"/>
          <w:szCs w:val="32"/>
        </w:rPr>
        <w:t xml:space="preserve">区财政局局长  吴南军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default" w:ascii="Times New Roman" w:hAnsi="Times New Roman" w:eastAsia="宋体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sz w:val="32"/>
          <w:szCs w:val="32"/>
        </w:rPr>
        <w:t>20</w:t>
      </w: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宋体" w:cs="Times New Roman"/>
          <w:sz w:val="32"/>
          <w:szCs w:val="32"/>
        </w:rPr>
        <w:t>年</w:t>
      </w: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宋体" w:cs="Times New Roman"/>
          <w:sz w:val="32"/>
          <w:szCs w:val="32"/>
        </w:rPr>
        <w:t>月</w:t>
      </w: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宋体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bidi="ar"/>
        </w:rPr>
        <w:t>各位代表：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bidi="ar"/>
        </w:rPr>
        <w:t>受区人民政府委托，现向大会报告望城区20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val="en-US" w:eastAsia="zh-CN" w:bidi="ar"/>
        </w:rPr>
        <w:t>22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bidi="ar"/>
        </w:rPr>
        <w:t>年财政预算预计执行情况与202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val="en-US" w:eastAsia="zh-CN" w:bidi="ar"/>
        </w:rPr>
        <w:t>3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bidi="ar"/>
        </w:rPr>
        <w:t>年财政预算草案，请予审查，并请各位政协委员和其他列席人员提出意见。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exact"/>
        <w:jc w:val="center"/>
        <w:textAlignment w:val="auto"/>
        <w:rPr>
          <w:rFonts w:hint="default" w:ascii="Times New Roman" w:hAnsi="Times New Roman" w:eastAsia="黑体" w:cs="Times New Roman"/>
          <w:kern w:val="0"/>
          <w:sz w:val="36"/>
          <w:szCs w:val="36"/>
          <w:highlight w:val="none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jc w:val="center"/>
        <w:textAlignment w:val="auto"/>
        <w:rPr>
          <w:rFonts w:hint="default" w:ascii="Times New Roman" w:hAnsi="Times New Roman" w:eastAsia="黑体" w:cs="Times New Roman"/>
          <w:kern w:val="0"/>
          <w:sz w:val="36"/>
          <w:szCs w:val="36"/>
          <w:highlight w:val="none"/>
          <w:lang w:bidi="ar"/>
        </w:rPr>
      </w:pPr>
      <w:r>
        <w:rPr>
          <w:rFonts w:hint="default" w:ascii="Times New Roman" w:hAnsi="Times New Roman" w:eastAsia="黑体" w:cs="Times New Roman"/>
          <w:kern w:val="0"/>
          <w:sz w:val="36"/>
          <w:szCs w:val="36"/>
          <w:highlight w:val="none"/>
          <w:lang w:bidi="ar"/>
        </w:rPr>
        <w:t>20</w:t>
      </w:r>
      <w:r>
        <w:rPr>
          <w:rFonts w:hint="default" w:ascii="Times New Roman" w:hAnsi="Times New Roman" w:eastAsia="黑体" w:cs="Times New Roman"/>
          <w:kern w:val="0"/>
          <w:sz w:val="36"/>
          <w:szCs w:val="36"/>
          <w:highlight w:val="none"/>
          <w:lang w:val="en-US" w:eastAsia="zh-CN" w:bidi="ar"/>
        </w:rPr>
        <w:t>22</w:t>
      </w:r>
      <w:r>
        <w:rPr>
          <w:rFonts w:hint="default" w:ascii="Times New Roman" w:hAnsi="Times New Roman" w:eastAsia="黑体" w:cs="Times New Roman"/>
          <w:kern w:val="0"/>
          <w:sz w:val="36"/>
          <w:szCs w:val="36"/>
          <w:highlight w:val="none"/>
          <w:lang w:bidi="ar"/>
        </w:rPr>
        <w:t>年财政预算预计执行情况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641"/>
        <w:textAlignment w:val="auto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lang w:bidi="ar"/>
        </w:rPr>
        <w:t>2022年是党的二十大召开之年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lang w:bidi="ar"/>
        </w:rPr>
        <w:t>全区财政工作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lang w:val="en-US" w:eastAsia="zh-CN"/>
        </w:rPr>
        <w:t>以习近平新时代中国特色社会主义思想为指引，深入贯彻党的二十大精神，全面服务“三高四新”战略定位和使命任务，奋力实施“强省会”战略，严格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lang w:bidi="ar"/>
        </w:rPr>
        <w:t>落实区委、区政府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lang w:val="en-US" w:eastAsia="zh-CN" w:bidi="ar"/>
        </w:rPr>
        <w:t>各项工作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lang w:bidi="ar"/>
        </w:rPr>
        <w:t>要求，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</w:rPr>
        <w:t>自觉接受区人大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lang w:eastAsia="zh-CN"/>
        </w:rPr>
        <w:t>及其常委会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</w:rPr>
        <w:t>、区政协的监督指导，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lang w:eastAsia="zh-CN"/>
        </w:rPr>
        <w:t>充分发挥财政职能作用，努力克服疫情和湘江新区体制优化带来的影响，全力服务稳经济大盘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lang w:val="en-US" w:eastAsia="zh-CN" w:bidi="ar"/>
        </w:rPr>
        <w:t>为加快推动望城经济社会高质量发展和现代化建设提供了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</w:rPr>
        <w:t>坚实的财力保障。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一、一般公共预算执行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napToGrid w:val="0"/>
        <w:spacing w:line="60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收入预算执行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全年预计完成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财政总收入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1257500万元，其中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地方一般公共预算收入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859000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万元，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与年初预算持平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napToGrid w:val="0"/>
        <w:spacing w:line="60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支出预算执行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全年预计完成一般公共预算支出1207198万元，比上年实际完成数增长2.64%。分支出功能科目为：一般公共服务支出111788万元，国防支出3734万元，公共安全支出45539万元，教育支出268973万元，科学技术支出36240万元，文化旅游体育与传媒支出21084万元，社会保障和就业支出145539万元，卫生健康支出86653万元，节能环保支出64414万元，城乡社区支出139171万元，农林水支出125741万元，交通运输支出33739万元，资源勘探工业信息等支出26635万元，商业服务业等支出11164万元，金融支出1271万元，自然资源海洋气象等支出11270万元，住房保障支出46740万元，粮油物资储备支出2579万元，灾害防治及应急管理支出10744万元，债务付息支出14180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napToGrid w:val="0"/>
        <w:spacing w:line="60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收支平衡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全年预计地方一般公共预算收入859000万元，上级补助收入373000万元，债务转贷收入16400万元，上年结转58119万元，动用预算稳定调节基金49297万元，政府性基金调入100000万元，收入合计1455816万元。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全年预计一般公共预算支出1207198万元，上解上级支出190000万元（包含上解省级下放共享收入），结转下年58618万元，支出合计1455816万元；收支平衡。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二、政府性基金预算执行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napToGrid w:val="0"/>
        <w:spacing w:line="60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收入预算执行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全年预计完成区级政府性基金预算收入1648000万元，其中：国土基金收入1600000万元，城市基础设施配套费收入40000万元，污水处理费收入8000万元。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napToGrid w:val="0"/>
        <w:spacing w:line="60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）支出预算执行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全年预计完成政府性基金预算支出2027428万元。其中：国土基金支出1498058万元，城市基础设施配套费支出40000万元，污水处理费支出8000万元，专项债券支出476860万元，其他政府性基金支出4510万元。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napToGrid w:val="0"/>
        <w:spacing w:line="60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）收支平衡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全年预计完成政府性基金预算区级收入1648000万元，债券转贷收入476860万元，上级补助收入4000万元，上年结转4428万元，收入合计2133288万元；政府性基金预算支出2027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28万元，调出资金100000万元，上解上级支出300万元，结转下年5560万元，支出合计2133288万元；收支平衡。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三、国有资本经营预算执行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全年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预计完成国有资本经营预算收入10111万元，全年预计国有资本经营预算支出9666万元，当年结余445万元，历年滚存结余554万元。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四、社保基金预算执行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 w:val="0"/>
        <w:spacing w:line="60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</w:rPr>
        <w:t>（一）收入预算执行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全年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预计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完成社保基金预算收入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84535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万元，其中：机关养老保险基金收入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49815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万元，城乡居民基本养老保险基金收入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30098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万元，失业保险基金收入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4622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 w:val="0"/>
        <w:spacing w:line="60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</w:rPr>
        <w:t>（二）支出预算执行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全年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预计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完成社保基金预算支出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76352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万元，其中：机关养老保险基金支出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45629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万元，城乡居民基本养老保险基金支出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25184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万元，失业保险基金支出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5539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 w:val="0"/>
        <w:spacing w:line="60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</w:rPr>
        <w:t>（三）收支平衡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社保基金预算收入84535万元，社保基金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预算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支出76352万元，当年结余8183万元，历年滚存结余61691万元。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地方政府</w:t>
      </w:r>
      <w:r>
        <w:rPr>
          <w:rFonts w:hint="default" w:ascii="Times New Roman" w:hAnsi="Times New Roman" w:eastAsia="黑体" w:cs="Times New Roman"/>
          <w:sz w:val="32"/>
          <w:szCs w:val="32"/>
        </w:rPr>
        <w:t>债务情况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2022年省财政厅下达我区新增政府债务限额49.23亿元，结转上年度剩余一般债务限额0.1亿元，2022年限额合计49.33亿元（一般债务1.64亿元，专项债务47.69亿元）。截至2022年1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月底，我区政府债务限额227.4亿元（一般债务40.93亿元，专项债务186.47亿元），政府债务余额227.31亿元（一般债务40.84亿元，专项债务186.47亿元），余额控制在限额以内，政府债务风险总体可控。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 w:val="0"/>
        <w:spacing w:line="600" w:lineRule="exact"/>
        <w:ind w:firstLine="616" w:firstLineChars="200"/>
        <w:textAlignment w:val="auto"/>
        <w:rPr>
          <w:rFonts w:hint="default" w:ascii="Times New Roman" w:hAnsi="Times New Roman" w:eastAsia="黑体" w:cs="Times New Roman"/>
          <w:spacing w:val="-6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spacing w:val="-6"/>
          <w:kern w:val="0"/>
          <w:sz w:val="32"/>
          <w:szCs w:val="32"/>
          <w:lang w:bidi="ar"/>
        </w:rPr>
        <w:t>六、20</w:t>
      </w:r>
      <w:r>
        <w:rPr>
          <w:rFonts w:hint="default" w:ascii="Times New Roman" w:hAnsi="Times New Roman" w:eastAsia="黑体" w:cs="Times New Roman"/>
          <w:spacing w:val="-6"/>
          <w:kern w:val="0"/>
          <w:sz w:val="32"/>
          <w:szCs w:val="32"/>
          <w:lang w:val="en-US" w:eastAsia="zh-CN" w:bidi="ar"/>
        </w:rPr>
        <w:t>22</w:t>
      </w:r>
      <w:r>
        <w:rPr>
          <w:rFonts w:hint="default" w:ascii="Times New Roman" w:hAnsi="Times New Roman" w:eastAsia="黑体" w:cs="Times New Roman"/>
          <w:spacing w:val="-6"/>
          <w:kern w:val="0"/>
          <w:sz w:val="32"/>
          <w:szCs w:val="32"/>
          <w:lang w:bidi="ar"/>
        </w:rPr>
        <w:t>年财政</w:t>
      </w:r>
      <w:r>
        <w:rPr>
          <w:rFonts w:hint="default" w:ascii="Times New Roman" w:hAnsi="Times New Roman" w:eastAsia="黑体" w:cs="Times New Roman"/>
          <w:spacing w:val="-6"/>
          <w:kern w:val="0"/>
          <w:sz w:val="32"/>
          <w:szCs w:val="32"/>
          <w:lang w:val="en-US" w:eastAsia="zh-CN" w:bidi="ar"/>
        </w:rPr>
        <w:t>工作特点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619" w:firstLineChars="200"/>
        <w:textAlignment w:val="auto"/>
        <w:rPr>
          <w:rFonts w:hint="default" w:ascii="Times New Roman" w:hAnsi="Times New Roman" w:eastAsia="楷体_GB2312" w:cs="Times New Roman"/>
          <w:b/>
          <w:bCs/>
          <w:spacing w:val="-6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b/>
          <w:bCs/>
          <w:spacing w:val="-6"/>
          <w:kern w:val="0"/>
          <w:sz w:val="32"/>
          <w:szCs w:val="32"/>
          <w:highlight w:val="none"/>
          <w:lang w:val="en-US" w:eastAsia="zh-CN" w:bidi="ar"/>
        </w:rPr>
        <w:t>培源抓收稳中有增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全力服务稳经济大盘，着力培源生财，实现财政收入稳中有增。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eastAsia="仿宋_GB2312" w:cs="Times New Roman"/>
          <w:b/>
          <w:bCs/>
          <w:spacing w:val="-6"/>
          <w:kern w:val="0"/>
          <w:sz w:val="32"/>
          <w:szCs w:val="32"/>
          <w:lang w:val="en-US" w:eastAsia="zh-CN" w:bidi="ar"/>
        </w:rPr>
        <w:t>“纾困增效”帮实体。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落实落细中央政策，新增减税降费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29.8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。兑现产业扶持、纾困增效资金约6亿元，提供中小企业无费担保、融资转贷、贷款贴息等政策优惠资金3380万元，有力推动“一主三特”产业发展，新增规模工业企业18家，加快释放澳优乳业、中信戴卡等龙头企业发展潜能，助推智能创造等企业实现研发创新、成果转化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eastAsia="zh-CN"/>
        </w:rPr>
        <w:t>，有效支持实体经济增长和稳住税收贡献。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二是助推项目稳增长。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投入重点项目建设资金16.7亿元，推动香炉洲大桥、腾飞路、银杉路综合提质改造等重大项目建设。争取政府专项债券资金47.69亿元，确保湘江古镇群配套工程、经开区大河西交通物流枢纽区等重点项目顺利推进，实现了投资拉动增长。</w:t>
      </w:r>
      <w:r>
        <w:rPr>
          <w:rFonts w:hint="default" w:ascii="Times New Roman" w:hAnsi="Times New Roman" w:eastAsia="仿宋_GB2312" w:cs="Times New Roman"/>
          <w:b/>
          <w:bCs/>
          <w:spacing w:val="-6"/>
          <w:kern w:val="0"/>
          <w:sz w:val="32"/>
          <w:szCs w:val="32"/>
          <w:lang w:val="en-US" w:eastAsia="zh-CN" w:bidi="ar"/>
        </w:rPr>
        <w:t>三是盘活“三资”提效益。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用好“用、售、租、融”四种“三资”盘活方式，全年盘活“三资”19.6亿元，实现税收5.8亿元。</w:t>
      </w:r>
      <w:r>
        <w:rPr>
          <w:rFonts w:hint="default" w:ascii="Times New Roman" w:hAnsi="Times New Roman" w:eastAsia="仿宋_GB2312" w:cs="Times New Roman"/>
          <w:b/>
          <w:bCs/>
          <w:spacing w:val="-6"/>
          <w:kern w:val="0"/>
          <w:sz w:val="32"/>
          <w:szCs w:val="32"/>
          <w:lang w:val="en-US" w:eastAsia="zh-CN" w:bidi="ar"/>
        </w:rPr>
        <w:t>四是强化征管促增收。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充分发挥“三高四新”财源建设工作机制和税务、资规、住建、国资等部门、街镇、园区作用，用好用活综合治税平台，提高收入组织精准性和实效性，预计全年地方收入增幅、收入质量稳居全市前列。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619" w:firstLineChars="200"/>
        <w:textAlignment w:val="auto"/>
        <w:rPr>
          <w:rFonts w:hint="default" w:ascii="Times New Roman" w:hAnsi="Times New Roman" w:eastAsia="楷体_GB2312" w:cs="Times New Roman"/>
          <w:b/>
          <w:bCs/>
          <w:spacing w:val="-6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b/>
          <w:bCs/>
          <w:spacing w:val="-6"/>
          <w:kern w:val="0"/>
          <w:sz w:val="32"/>
          <w:szCs w:val="32"/>
          <w:highlight w:val="none"/>
          <w:lang w:val="en-US" w:eastAsia="zh-CN" w:bidi="ar"/>
        </w:rPr>
        <w:t>（二）节支裕民保障有力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坚持党政机关带头过“紧日子”，压减非刚性支出，节约资金保障民生支出。</w:t>
      </w:r>
      <w:r>
        <w:rPr>
          <w:rFonts w:hint="default" w:ascii="Times New Roman" w:hAnsi="Times New Roman" w:eastAsia="仿宋_GB2312" w:cs="Times New Roman"/>
          <w:b/>
          <w:bCs/>
          <w:spacing w:val="-6"/>
          <w:kern w:val="0"/>
          <w:sz w:val="32"/>
          <w:szCs w:val="32"/>
          <w:lang w:val="en-US" w:eastAsia="zh-CN" w:bidi="ar"/>
        </w:rPr>
        <w:t>一是社会保障更加有力。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提高基础养老金、医疗保险缴费补助标准，增发65岁以上人员老年基础养老金，降低医疗救助起付线。落实人才新政经费保障，推动人才和就业政策兑现。支持街镇敬老院、卫生院建设改造，积极探索“卫生院+养老服务”医养结合的望城健康养老服务新模式，全力服务保障好疫情防控。</w:t>
      </w:r>
      <w:r>
        <w:rPr>
          <w:rFonts w:hint="default" w:ascii="Times New Roman" w:hAnsi="Times New Roman" w:eastAsia="仿宋_GB2312" w:cs="Times New Roman"/>
          <w:b/>
          <w:bCs/>
          <w:spacing w:val="-6"/>
          <w:kern w:val="0"/>
          <w:sz w:val="32"/>
          <w:szCs w:val="32"/>
          <w:lang w:val="en-US" w:eastAsia="zh-CN" w:bidi="ar"/>
        </w:rPr>
        <w:t>二是教科文体事业稳步发展。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支持新增公办幼儿园学位1万个，公办幼儿园在园幼儿占比达54%。完成银杉九年一贯制学校、前进小学等义务学校建设，新增学位1.2万个。支持推进城区、农村学校校舍安全隐患排查。支持引进麓山国际，长郡双语等4所品牌学校合作办学，推动教育资源配置优化升级。加大对企业创新支持力度，对众创空间、创新服务平台、高新技术企业、科技创新小巨人企业等进行奖补。支持推进城乡公共文化服务体系建设，加大乡村文化基础设施建设力度，支持开展全民健身活动。全力保障好长沙市首届文旅发展大会筹办，展示望城全域旅游形象。</w:t>
      </w:r>
      <w:r>
        <w:rPr>
          <w:rFonts w:hint="default" w:ascii="Times New Roman" w:hAnsi="Times New Roman" w:eastAsia="仿宋_GB2312" w:cs="Times New Roman"/>
          <w:b/>
          <w:bCs/>
          <w:spacing w:val="-6"/>
          <w:kern w:val="0"/>
          <w:sz w:val="32"/>
          <w:szCs w:val="32"/>
          <w:lang w:val="en-US" w:eastAsia="zh-CN" w:bidi="ar"/>
        </w:rPr>
        <w:t>三是城市建管质效提升。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深入推进市政道路公共路灯设施功能性修复、金星北路两厢景观照明提质等项目建设。加大对城乡环境卫生、污染防治投入力度，全力支持打好污染防治攻坚战。大力推进自建房安全隐患排查整治工作，加快推进老旧小区提质改造工程，打造街角花园。支持重点打造智慧交通等应用场景，持续推进智慧城市项目建设。</w:t>
      </w:r>
      <w:r>
        <w:rPr>
          <w:rFonts w:hint="default" w:ascii="Times New Roman" w:hAnsi="Times New Roman" w:eastAsia="仿宋_GB2312" w:cs="Times New Roman"/>
          <w:b/>
          <w:bCs/>
          <w:spacing w:val="-6"/>
          <w:kern w:val="0"/>
          <w:sz w:val="32"/>
          <w:szCs w:val="32"/>
          <w:lang w:val="en-US" w:eastAsia="zh-CN" w:bidi="ar"/>
        </w:rPr>
        <w:t>四是乡村振兴成效明显。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支持巩固拓展脱贫攻坚成果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乡村振兴有效衔接。支持全区粮食生产，打造2.22万亩高标准农田，建设工厂化育秧基地，足额发放种粮补贴。深入推进美丽宜居村庄建设，持续支持发展壮大村级集体经济。支持农村公路建设养护、行政村通公交工程，改善农业水利设施，推动农业产业高质量高水平发展。支持提质村级党群服务阵地，打造党建示范点，发挥党建引领基层治理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619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spacing w:val="-6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b/>
          <w:bCs/>
          <w:spacing w:val="-6"/>
          <w:kern w:val="0"/>
          <w:sz w:val="32"/>
          <w:szCs w:val="32"/>
          <w:highlight w:val="none"/>
          <w:lang w:val="en-US" w:eastAsia="zh-CN" w:bidi="ar"/>
        </w:rPr>
        <w:t>（三）财政管理提质增效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着力优化财政管理，理财水平有效提升。</w:t>
      </w:r>
      <w:r>
        <w:rPr>
          <w:rFonts w:hint="default" w:ascii="Times New Roman" w:hAnsi="Times New Roman" w:eastAsia="仿宋_GB2312" w:cs="Times New Roman"/>
          <w:b/>
          <w:bCs/>
          <w:spacing w:val="-6"/>
          <w:kern w:val="0"/>
          <w:sz w:val="32"/>
          <w:szCs w:val="32"/>
          <w:lang w:val="en-US" w:eastAsia="zh-CN" w:bidi="ar"/>
        </w:rPr>
        <w:t>一是预算管理更加优化。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全面实行“预算一体化”，将预算编制、资金支付、会计核算纳入一体化系统，实现预算全流程规范化管理。积极对接市对区体制调整优化和“一镇两街”托管工作，加强沟通协调，确保收支运行平稳。将绩效理念和方法深度融入预算编制、执行、监督全过程，将落实全区重大决策部署作为绩效管理重点，全年共对25个项目和单位开展重点绩效评价。加强国库库款管理，优先“三保”等重点支出。精简资金支付财政流程，将资金拨付最后环节下沉单位，实现财政资金直付。</w:t>
      </w:r>
      <w:r>
        <w:rPr>
          <w:rFonts w:hint="default" w:ascii="Times New Roman" w:hAnsi="Times New Roman" w:eastAsia="仿宋_GB2312" w:cs="Times New Roman"/>
          <w:b/>
          <w:bCs/>
          <w:spacing w:val="-6"/>
          <w:kern w:val="0"/>
          <w:sz w:val="32"/>
          <w:szCs w:val="32"/>
          <w:lang w:val="en-US" w:eastAsia="zh-CN" w:bidi="ar"/>
        </w:rPr>
        <w:t>二是债务管理更加规范。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建立健全政府性债务风险应急处置工作机制，按照“一债一策”落实债务化解计划，及时足额筹措隐性债务化解资金，强化债务风险监测管理，跟踪分析潜在风险，制定国有企业风险处置预案，全区债务风险整体可控。</w:t>
      </w:r>
      <w:r>
        <w:rPr>
          <w:rFonts w:hint="default" w:ascii="Times New Roman" w:hAnsi="Times New Roman" w:eastAsia="仿宋_GB2312" w:cs="Times New Roman"/>
          <w:b/>
          <w:bCs/>
          <w:spacing w:val="-6"/>
          <w:kern w:val="0"/>
          <w:sz w:val="32"/>
          <w:szCs w:val="32"/>
          <w:lang w:val="en-US" w:eastAsia="zh-CN" w:bidi="ar"/>
        </w:rPr>
        <w:t>三是财政评审效能持续提升。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不断优化评审系统，规范评审流程，加速积压项目办理，推进财政投资评审工作规范化、科学化。</w:t>
      </w:r>
      <w:r>
        <w:rPr>
          <w:rFonts w:hint="default" w:ascii="Times New Roman" w:hAnsi="Times New Roman" w:eastAsia="仿宋_GB2312" w:cs="Times New Roman"/>
          <w:spacing w:val="-6"/>
          <w:sz w:val="32"/>
          <w:lang w:val="en-US" w:eastAsia="zh-CN"/>
        </w:rPr>
        <w:t>全年预计完成项目评审1073个，送审总金额55.04亿元，核减总额3.39亿元，核减率为6.16%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</w:rPr>
        <w:t>。</w:t>
      </w:r>
      <w:r>
        <w:rPr>
          <w:rFonts w:hint="default" w:ascii="Times New Roman" w:hAnsi="Times New Roman" w:eastAsia="仿宋_GB2312" w:cs="Times New Roman"/>
          <w:b/>
          <w:bCs/>
          <w:spacing w:val="-6"/>
          <w:kern w:val="0"/>
          <w:sz w:val="32"/>
          <w:szCs w:val="32"/>
          <w:lang w:val="en-US" w:eastAsia="zh-CN" w:bidi="ar"/>
        </w:rPr>
        <w:t>四是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政府采购制度改革纵深推进。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创新政府采购管理模式，构建权责清晰、运行高效、监管有力、服务优化的政府采购监管新机制。发挥政府采购政策功能，支持绿色低碳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采购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，助力乡村振兴，促进中小微企业发展，政府采购授予中小微企业的合同金额约占全区政府采购规模的72%。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五是清廉财政建设全面实施。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制定廉政建设工作任务清单，健全内控机制，选聘财政监督员，明确外部监督、内部监督、廉政监督及内控管理四项主要职责，建立“全员参与、全面覆盖、全部监控”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sz w:val="32"/>
          <w:szCs w:val="32"/>
          <w:lang w:val="en-US" w:eastAsia="zh-CN"/>
        </w:rPr>
        <w:t>工作机制，推动财政业务监督与廉政监督的有机结合、相互促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各位代表，2022年既面临着经济下行、疫情影响、减税降费等带来的减收冲击，又要统筹保障好抗疫支出、民生事业、重点项目等刚性支出，全年财政运行紧平衡状态更加突出。在这样矛盾交织的局面下，全区上下团结拼搏、克难攻坚，圆满完成年度目标，各项事业稳步发展。下一步，我们将继续落实积极的财政政策，增收节支，进一步提高财政资金使用效益，在新征程中助推望城经济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社会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高质量发展。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exact"/>
        <w:jc w:val="center"/>
        <w:textAlignment w:val="auto"/>
        <w:rPr>
          <w:rFonts w:hint="default" w:ascii="Times New Roman" w:hAnsi="Times New Roman" w:eastAsia="黑体" w:cs="Times New Roman"/>
          <w:kern w:val="0"/>
          <w:sz w:val="36"/>
          <w:szCs w:val="36"/>
          <w:highlight w:val="none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jc w:val="center"/>
        <w:textAlignment w:val="auto"/>
        <w:rPr>
          <w:rFonts w:hint="default" w:ascii="Times New Roman" w:hAnsi="Times New Roman" w:eastAsia="黑体" w:cs="Times New Roman"/>
          <w:kern w:val="0"/>
          <w:sz w:val="36"/>
          <w:szCs w:val="36"/>
          <w:highlight w:val="none"/>
          <w:lang w:bidi="ar"/>
        </w:rPr>
      </w:pPr>
      <w:r>
        <w:rPr>
          <w:rFonts w:hint="default" w:ascii="Times New Roman" w:hAnsi="Times New Roman" w:eastAsia="黑体" w:cs="Times New Roman"/>
          <w:kern w:val="0"/>
          <w:sz w:val="36"/>
          <w:szCs w:val="36"/>
          <w:highlight w:val="none"/>
          <w:lang w:bidi="ar"/>
        </w:rPr>
        <w:t>202</w:t>
      </w:r>
      <w:r>
        <w:rPr>
          <w:rFonts w:hint="default" w:ascii="Times New Roman" w:hAnsi="Times New Roman" w:eastAsia="黑体" w:cs="Times New Roman"/>
          <w:kern w:val="0"/>
          <w:sz w:val="36"/>
          <w:szCs w:val="36"/>
          <w:highlight w:val="none"/>
          <w:lang w:val="en-US" w:eastAsia="zh-CN" w:bidi="ar"/>
        </w:rPr>
        <w:t>3</w:t>
      </w:r>
      <w:r>
        <w:rPr>
          <w:rFonts w:hint="default" w:ascii="Times New Roman" w:hAnsi="Times New Roman" w:eastAsia="黑体" w:cs="Times New Roman"/>
          <w:kern w:val="0"/>
          <w:sz w:val="36"/>
          <w:szCs w:val="36"/>
          <w:highlight w:val="none"/>
          <w:lang w:bidi="ar"/>
        </w:rPr>
        <w:t>年财政预算草案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全面贯彻党的二十大精神的开局之年，也是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实施“十四五”规划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承上启下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的关键之年，</w:t>
      </w:r>
      <w:r>
        <w:rPr>
          <w:rFonts w:hint="default" w:ascii="Times New Roman" w:hAnsi="Times New Roman" w:eastAsia="仿宋_GB2312" w:cs="Times New Roman"/>
          <w:sz w:val="32"/>
          <w:szCs w:val="40"/>
        </w:rPr>
        <w:t>面对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宏观经济普遍承压和巨大的不确定性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，我们将坚决贯彻落实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中央、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省、市、区各项决策部署，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坚定信心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踔厉奋发、笃行不怠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奋力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谱写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现代化新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望城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财政新篇章。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16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pacing w:val="-6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bidi="ar"/>
        </w:rPr>
        <w:t>202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val="en-US" w:eastAsia="zh-CN" w:bidi="ar"/>
        </w:rPr>
        <w:t>3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bidi="ar"/>
        </w:rPr>
        <w:t>年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eastAsia="zh-CN" w:bidi="ar"/>
        </w:rPr>
        <w:t>财政工作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bidi="ar"/>
        </w:rPr>
        <w:t>的指导思想是：</w:t>
      </w:r>
      <w:r>
        <w:rPr>
          <w:rFonts w:hint="default" w:ascii="Times New Roman" w:hAnsi="Times New Roman" w:eastAsia="黑体" w:cs="Times New Roman"/>
          <w:b w:val="0"/>
          <w:bCs w:val="0"/>
          <w:spacing w:val="-6"/>
          <w:kern w:val="0"/>
          <w:sz w:val="32"/>
          <w:szCs w:val="32"/>
          <w:lang w:bidi="ar"/>
        </w:rPr>
        <w:t>以习近平新时代中国特色社会主义思想为指导，全面贯彻落实党的</w:t>
      </w:r>
      <w:r>
        <w:rPr>
          <w:rFonts w:hint="default" w:ascii="Times New Roman" w:hAnsi="Times New Roman" w:eastAsia="黑体" w:cs="Times New Roman"/>
          <w:b w:val="0"/>
          <w:bCs w:val="0"/>
          <w:spacing w:val="-6"/>
          <w:kern w:val="0"/>
          <w:sz w:val="32"/>
          <w:szCs w:val="32"/>
          <w:lang w:eastAsia="zh-CN" w:bidi="ar"/>
        </w:rPr>
        <w:t>二十大</w:t>
      </w:r>
      <w:r>
        <w:rPr>
          <w:rFonts w:hint="default" w:ascii="Times New Roman" w:hAnsi="Times New Roman" w:eastAsia="黑体" w:cs="Times New Roman"/>
          <w:b w:val="0"/>
          <w:bCs w:val="0"/>
          <w:spacing w:val="-6"/>
          <w:kern w:val="0"/>
          <w:sz w:val="32"/>
          <w:szCs w:val="32"/>
          <w:lang w:bidi="ar"/>
        </w:rPr>
        <w:t>精神</w:t>
      </w:r>
      <w:r>
        <w:rPr>
          <w:rFonts w:hint="default" w:ascii="Times New Roman" w:hAnsi="Times New Roman" w:eastAsia="黑体" w:cs="Times New Roman"/>
          <w:b w:val="0"/>
          <w:bCs w:val="0"/>
          <w:spacing w:val="-6"/>
          <w:kern w:val="0"/>
          <w:sz w:val="32"/>
          <w:szCs w:val="32"/>
          <w:lang w:eastAsia="zh-CN" w:bidi="ar"/>
        </w:rPr>
        <w:t>和中央、省、市经济工作</w:t>
      </w:r>
      <w:r>
        <w:rPr>
          <w:rFonts w:hint="default" w:ascii="Times New Roman" w:hAnsi="Times New Roman" w:eastAsia="黑体" w:cs="Times New Roman"/>
          <w:b w:val="0"/>
          <w:bCs w:val="0"/>
          <w:spacing w:val="-6"/>
          <w:kern w:val="0"/>
          <w:sz w:val="32"/>
          <w:szCs w:val="32"/>
          <w:lang w:bidi="ar"/>
        </w:rPr>
        <w:t>会议</w:t>
      </w:r>
      <w:r>
        <w:rPr>
          <w:rFonts w:hint="default" w:ascii="Times New Roman" w:hAnsi="Times New Roman" w:eastAsia="黑体" w:cs="Times New Roman"/>
          <w:b w:val="0"/>
          <w:bCs w:val="0"/>
          <w:spacing w:val="-6"/>
          <w:kern w:val="0"/>
          <w:sz w:val="32"/>
          <w:szCs w:val="32"/>
          <w:lang w:eastAsia="zh-CN" w:bidi="ar"/>
        </w:rPr>
        <w:t>部署，</w:t>
      </w:r>
      <w:r>
        <w:rPr>
          <w:rFonts w:hint="default" w:ascii="Times New Roman" w:hAnsi="Times New Roman" w:eastAsia="黑体" w:cs="Times New Roman"/>
          <w:b w:val="0"/>
          <w:bCs w:val="0"/>
          <w:spacing w:val="-2"/>
          <w:sz w:val="32"/>
          <w:szCs w:val="32"/>
          <w:lang w:eastAsia="zh-CN"/>
        </w:rPr>
        <w:t>按照区委三届三次全会要求，</w:t>
      </w:r>
      <w:r>
        <w:rPr>
          <w:rFonts w:hint="default" w:ascii="Times New Roman" w:hAnsi="Times New Roman" w:eastAsia="黑体" w:cs="Times New Roman"/>
          <w:b w:val="0"/>
          <w:bCs w:val="0"/>
          <w:spacing w:val="-6"/>
          <w:kern w:val="0"/>
          <w:sz w:val="32"/>
          <w:szCs w:val="32"/>
          <w:lang w:eastAsia="zh-CN" w:bidi="ar"/>
        </w:rPr>
        <w:t>健全现代预算制度，推进</w:t>
      </w:r>
      <w:r>
        <w:rPr>
          <w:rFonts w:hint="default" w:ascii="Times New Roman" w:hAnsi="Times New Roman" w:eastAsia="黑体" w:cs="Times New Roman"/>
          <w:b w:val="0"/>
          <w:bCs w:val="0"/>
          <w:spacing w:val="-6"/>
          <w:kern w:val="0"/>
          <w:sz w:val="32"/>
          <w:szCs w:val="32"/>
          <w:lang w:bidi="ar"/>
        </w:rPr>
        <w:t>积极的财政政策</w:t>
      </w:r>
      <w:r>
        <w:rPr>
          <w:rFonts w:hint="default" w:ascii="Times New Roman" w:hAnsi="Times New Roman" w:eastAsia="黑体" w:cs="Times New Roman"/>
          <w:b w:val="0"/>
          <w:bCs w:val="0"/>
          <w:spacing w:val="-6"/>
          <w:kern w:val="0"/>
          <w:sz w:val="32"/>
          <w:szCs w:val="32"/>
          <w:lang w:eastAsia="zh-CN" w:bidi="ar"/>
        </w:rPr>
        <w:t>加力增效</w:t>
      </w:r>
      <w:r>
        <w:rPr>
          <w:rFonts w:hint="default" w:ascii="Times New Roman" w:hAnsi="Times New Roman" w:eastAsia="黑体" w:cs="Times New Roman"/>
          <w:b w:val="0"/>
          <w:bCs w:val="0"/>
          <w:spacing w:val="-2"/>
          <w:sz w:val="32"/>
          <w:szCs w:val="32"/>
        </w:rPr>
        <w:t>，</w:t>
      </w:r>
      <w:r>
        <w:rPr>
          <w:rFonts w:hint="default" w:ascii="Times New Roman" w:hAnsi="Times New Roman" w:eastAsia="黑体" w:cs="Times New Roman"/>
          <w:b w:val="0"/>
          <w:bCs w:val="0"/>
          <w:spacing w:val="-2"/>
          <w:sz w:val="32"/>
          <w:szCs w:val="32"/>
          <w:lang w:eastAsia="zh-CN"/>
        </w:rPr>
        <w:t>更加提升资金效益和政策效能</w:t>
      </w:r>
      <w:r>
        <w:rPr>
          <w:rFonts w:hint="default" w:ascii="Times New Roman" w:hAnsi="Times New Roman" w:eastAsia="黑体" w:cs="Times New Roman"/>
          <w:b w:val="0"/>
          <w:bCs w:val="0"/>
          <w:spacing w:val="-2"/>
          <w:sz w:val="32"/>
          <w:szCs w:val="32"/>
        </w:rPr>
        <w:t>，</w:t>
      </w:r>
      <w:r>
        <w:rPr>
          <w:rFonts w:hint="default" w:ascii="Times New Roman" w:hAnsi="Times New Roman" w:eastAsia="黑体" w:cs="Times New Roman"/>
          <w:b w:val="0"/>
          <w:bCs w:val="0"/>
          <w:spacing w:val="-2"/>
          <w:sz w:val="32"/>
          <w:szCs w:val="32"/>
          <w:lang w:eastAsia="zh-CN"/>
        </w:rPr>
        <w:t>牢牢守住不发生系统性风险的底线，</w:t>
      </w:r>
      <w:r>
        <w:rPr>
          <w:rFonts w:hint="default" w:ascii="Times New Roman" w:hAnsi="Times New Roman" w:eastAsia="黑体" w:cs="Times New Roman"/>
          <w:b w:val="0"/>
          <w:bCs w:val="0"/>
          <w:spacing w:val="-6"/>
          <w:kern w:val="0"/>
          <w:sz w:val="32"/>
          <w:szCs w:val="32"/>
          <w:lang w:bidi="ar"/>
        </w:rPr>
        <w:t>为</w:t>
      </w:r>
      <w:r>
        <w:rPr>
          <w:rFonts w:hint="default" w:ascii="Times New Roman" w:hAnsi="Times New Roman" w:eastAsia="黑体" w:cs="Times New Roman"/>
          <w:b w:val="0"/>
          <w:bCs w:val="0"/>
          <w:spacing w:val="-6"/>
          <w:kern w:val="0"/>
          <w:sz w:val="32"/>
          <w:szCs w:val="32"/>
          <w:lang w:eastAsia="zh-CN" w:bidi="ar"/>
        </w:rPr>
        <w:t>全面建设产强、城美、民富、人和的现代化新望城提供坚实保障</w:t>
      </w:r>
      <w:r>
        <w:rPr>
          <w:rFonts w:hint="default" w:ascii="Times New Roman" w:hAnsi="Times New Roman" w:eastAsia="黑体" w:cs="Times New Roman"/>
          <w:b w:val="0"/>
          <w:bCs w:val="0"/>
          <w:spacing w:val="-6"/>
          <w:kern w:val="0"/>
          <w:sz w:val="32"/>
          <w:szCs w:val="32"/>
          <w:lang w:bidi="ar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616" w:firstLineChars="200"/>
        <w:textAlignment w:val="auto"/>
        <w:rPr>
          <w:rFonts w:hint="default" w:ascii="Times New Roman" w:hAnsi="Times New Roman" w:eastAsia="仿宋_GB2312" w:cs="Times New Roman"/>
          <w:b/>
          <w:bCs/>
          <w:spacing w:val="-6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val="en-US" w:eastAsia="zh-CN" w:bidi="ar"/>
        </w:rPr>
        <w:t>2023年预算编制原则和思路是：</w:t>
      </w:r>
      <w:r>
        <w:rPr>
          <w:rFonts w:hint="default" w:ascii="Times New Roman" w:hAnsi="Times New Roman" w:eastAsia="黑体" w:cs="Times New Roman"/>
          <w:b w:val="0"/>
          <w:bCs w:val="0"/>
          <w:spacing w:val="-6"/>
          <w:kern w:val="0"/>
          <w:sz w:val="32"/>
          <w:szCs w:val="32"/>
          <w:lang w:val="en-US" w:eastAsia="zh-CN" w:bidi="ar"/>
        </w:rPr>
        <w:t>坚持“零基”预算理念，坚持兜牢“三保”底线，坚持过“紧日子”，坚持统筹兼顾。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一、一般公共预算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</w:rPr>
        <w:t>（一）一般公共预算收入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1143000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</w:rPr>
        <w:t>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</w:rPr>
        <w:t>（二）一般公共预算支出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1061800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</w:rPr>
        <w:t>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区级安排一般公共预算支出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851800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万元。分支出功能科目为：一般公共服务支出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108541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万元，国防支出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3386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万元，公共安全支出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43814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万元，教育支出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196355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万元，科学技术支出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26043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万元，文化旅游体育与传媒支出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11644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万元，社会保障和就业支出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66057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万元，卫生健康支出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54878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万元，节能环保支出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26113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万元，城乡社区支出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111498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万元，农林水支出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67582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万元，交通运输支出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24403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万元，资源勘探工业信息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支出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21995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万元，商业服务业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支出10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478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万元，金融支出3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55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万元，自然资源海洋气象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支出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10524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万元，住房保障支出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22909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万元，粮油物资储备支出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1696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万元，灾害防治及应急管理支出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9529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万元，债务付息支出1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000万元，预备费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0000万元。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上级专项补助支出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210000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万元，按照上级明确的项目予以安排，主要用于教育、科技、社保、农林水等民生支出。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</w:rPr>
        <w:t>（三）一般公共预算平衡情况。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地方一般公共预算收入412000万元，上级补助收入741800万元（财力性补助收入531800万元、上级专项补助收入210000万元），上年结转58618万元，收入合计1212418万元；一般公共预算支出1061800万元，上解上级支出94000万元，结转下年56618万元，支出合计1212418万元；收支平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需要说明的是：一是“一镇两街”托管后，托管区域的收支基数相应划转湘江新区，湘江新区将根据核定的收支基数给予我区基础性财力补偿。二是市对区体制调整优化后，从2023年起，部分收入征管主体、收入级次、分享比例等发生变化，市级将核定我区一般公共预算收入基数，实行“存量全返、增量分享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二、政府性基金预算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（一）政府性基金预算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收入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955000万元。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上级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补助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收入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835000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万元，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其中：国土基金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上级补助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收入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799000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万元，城市基础设施配套费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上级补助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收入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30000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万元，污水处理费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上级补助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收入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6000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。国有资本经营预算调入资金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120000万元。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（二）政府性基金预算支出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955000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万元。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区级安排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政府性基金预算支出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955000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其中：国土基金支出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919000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城市基础设施配套费支出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30000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万元，污水处理费支出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6000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万元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政府性基金收支平衡情况。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上级补助收入835000万元，国有资本经营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预算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调入120000万元，上年结转5560万元，收入合计96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560万元；政府性基金预算支出955000万元，上解上级支出300万元，结转下年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260万元，支出合计96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560万元；收支平衡。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需要说明的是：市对区体制优化后，政府性基金收入全部为市级收入。其中：国土基金收入市级计提轨道交通发展专项基金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（6%）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后补助给我区，城市基础设施配套费、污水处理费全额补助给我区。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三、国有资本经营预算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（一）国有资本经营预算收入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123636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万元，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为国有控股、参股公司分红上缴收入。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其中城发集团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60000万元、产投集团60000万元、经开区投资建设集团3200万元、担保公司290万元、望城区粮油购销公司66万元、国信测绘公司80万元。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（二）国有资本经营预算支出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123636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万元，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主要用于企业扶持和解决历史遗留问题。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其中经开区投资建设集团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3200万元、粮食系统历史遗留问题处理66万元、调入政府性基金预算120000万元，结转下年370万元。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（三）国有资本经营预算平衡情况。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国有资本经营预算收入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123636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万元，国有资本经营预算支出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123636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万元；收支平衡。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四、社保基金预算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（一）社保基金预算收入77798万元，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其中：机关养老保险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基金收入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47490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万元，城乡居民基本养老保险基金收入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30308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（二）社保基金预算支出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71006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万元，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其中：机关养老保险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基金支出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46247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万元，城乡居民基本养老保险基金支出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24759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（三）社保基金预算平衡情况。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社保基金预算收入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77798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万元，社保基金预算支出71006万元，当年结余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6792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万元，历年滚存结余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68483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616" w:firstLineChars="200"/>
        <w:textAlignment w:val="auto"/>
        <w:rPr>
          <w:rFonts w:hint="default" w:ascii="Times New Roman" w:hAnsi="Times New Roman" w:eastAsia="黑体" w:cs="Times New Roman"/>
          <w:b/>
          <w:bCs/>
          <w:spacing w:val="-6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spacing w:val="-6"/>
          <w:kern w:val="0"/>
          <w:sz w:val="32"/>
          <w:szCs w:val="32"/>
          <w:lang w:val="en-US" w:eastAsia="zh-CN" w:bidi="ar"/>
        </w:rPr>
        <w:t>五</w:t>
      </w:r>
      <w:r>
        <w:rPr>
          <w:rFonts w:hint="default" w:ascii="Times New Roman" w:hAnsi="Times New Roman" w:eastAsia="黑体" w:cs="Times New Roman"/>
          <w:spacing w:val="-6"/>
          <w:kern w:val="0"/>
          <w:sz w:val="32"/>
          <w:szCs w:val="32"/>
          <w:lang w:bidi="ar"/>
        </w:rPr>
        <w:t>、</w:t>
      </w:r>
      <w:r>
        <w:rPr>
          <w:rFonts w:hint="default" w:ascii="Times New Roman" w:hAnsi="Times New Roman" w:eastAsia="黑体" w:cs="Times New Roman"/>
          <w:spacing w:val="-6"/>
          <w:kern w:val="0"/>
          <w:sz w:val="32"/>
          <w:szCs w:val="32"/>
          <w:lang w:val="en-US" w:eastAsia="zh-CN" w:bidi="ar"/>
        </w:rPr>
        <w:t>工作重点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616" w:firstLineChars="200"/>
        <w:jc w:val="left"/>
        <w:textAlignment w:val="auto"/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val="en-US" w:eastAsia="zh-CN" w:bidi="ar"/>
        </w:rPr>
        <w:t>2023年，全区财税部门将按照本次人大会议审查批准的年度预算，重点抓好以下四个方面工作：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619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spacing w:val="-6"/>
          <w:kern w:val="0"/>
          <w:sz w:val="32"/>
          <w:szCs w:val="32"/>
          <w:highlight w:val="none"/>
          <w:lang w:bidi="ar"/>
        </w:rPr>
      </w:pPr>
      <w:r>
        <w:rPr>
          <w:rFonts w:hint="default" w:ascii="Times New Roman" w:hAnsi="Times New Roman" w:eastAsia="楷体_GB2312" w:cs="Times New Roman"/>
          <w:b/>
          <w:bCs/>
          <w:spacing w:val="-6"/>
          <w:kern w:val="0"/>
          <w:sz w:val="32"/>
          <w:szCs w:val="32"/>
          <w:highlight w:val="none"/>
          <w:lang w:eastAsia="zh-CN" w:bidi="ar"/>
        </w:rPr>
        <w:t>（一）</w:t>
      </w:r>
      <w:r>
        <w:rPr>
          <w:rFonts w:hint="default" w:ascii="Times New Roman" w:hAnsi="Times New Roman" w:eastAsia="楷体_GB2312" w:cs="Times New Roman"/>
          <w:b/>
          <w:bCs/>
          <w:spacing w:val="-6"/>
          <w:kern w:val="0"/>
          <w:sz w:val="32"/>
          <w:szCs w:val="32"/>
          <w:highlight w:val="none"/>
          <w:lang w:bidi="ar"/>
        </w:rPr>
        <w:t>大力推进财政经济高质量增长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坚持以高质量发展带动高质量增长。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 w:bidi="ar"/>
        </w:rPr>
        <w:t>一是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40"/>
          <w:lang w:val="en-US" w:eastAsia="zh-CN"/>
        </w:rPr>
        <w:t>加大财源建设力度，加快支持产业优化升级，突出亩均效益导向，加快推动园区“腾笼换鸟”，引进产业前景好、土地利用率高、税收贡献大的项目，提升园区产出效益。着力培育骨干税源企业，持续支持制造业高质量发展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，构建主业突出、特色鲜明的产业链，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培育壮大“一主三特”产业体系。支持房地产业健康平稳发展，大力引进其他现代服务业入驻。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 w:bidi="ar"/>
        </w:rPr>
        <w:t>二是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持续纾困实体经济，全面落实减税降费政策，充分发挥纾困资金、产业政策精准帮扶作用，用好财政融资担保、融资转贷等金融手段支持中小企业解决融资难题，增强市场主体活力，稳定实体经济信心。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 w:bidi="ar"/>
        </w:rPr>
        <w:t>三是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支持重大项目建设，多措并举筹措资金，用好用活政府债券，积极引入社会资本，大力支持“一堤两路”、海归小镇等“一江两岸”重大基础设施项目建设，全力推动地铁四号线北延线启动建设，推动区域经济稳步增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619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spacing w:val="-6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b/>
          <w:bCs/>
          <w:spacing w:val="-6"/>
          <w:kern w:val="0"/>
          <w:sz w:val="32"/>
          <w:szCs w:val="32"/>
          <w:highlight w:val="none"/>
          <w:lang w:eastAsia="zh-CN" w:bidi="ar"/>
        </w:rPr>
        <w:t>（二）着力建立可持续民生保障机制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树牢党政机关长期过“紧日子”思想，把保障和改善民生建立在经济发展和财力可持续基础之上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 w:bidi="ar"/>
        </w:rPr>
        <w:t>一是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强化就业优先政策实施，加强困难群体就业兜底帮扶。优化医疗保险、医疗服务与救治工作，支持人民医院新院搬迁和街镇卫生院建设。大力保障城乡低保特困人员、优抚对象、残疾人、高龄老人、孤儿及困境儿童等特殊群体，加快完善多层次的社会保障体系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 w:bidi="ar"/>
        </w:rPr>
        <w:t>二是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持续支持建设高质量教育体系，优化教育支出结构，加强教师队伍建设，切实保障职业教育发展，解决城区学位供需矛盾，促进义务教育优质均衡发展和城乡教育一体化。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 w:bidi="ar"/>
        </w:rPr>
        <w:t>三是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支持建立健全普惠性公共文化服务体系，扩大优质文化产品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和服务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供给，满足群众多样化文化需求。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 w:bidi="ar"/>
        </w:rPr>
        <w:t>四是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深入推进乡村振兴战略实施，不断调整优化财政支持政策，巩固拓展脱贫攻坚成果与乡村振兴有效衔接。进一步夯实农田水利基础设施建设，支持粮食生产安全。不断改善农村人居环境，大力发展农业特色产业，继续扶持壮大村级集体经济发展。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 w:bidi="ar"/>
        </w:rPr>
        <w:t>五是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推动城管体制改革，提高城市园林绿化、环卫保洁水平，加强大气、噪声、扬尘污染治理。完善市政设施建设，提高城市应急能力，打造智慧城市，提升城市品质，增进民生福祉。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619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spacing w:val="-6"/>
          <w:kern w:val="0"/>
          <w:sz w:val="32"/>
          <w:szCs w:val="32"/>
          <w:highlight w:val="none"/>
          <w:lang w:eastAsia="zh-CN" w:bidi="ar"/>
        </w:rPr>
      </w:pPr>
      <w:r>
        <w:rPr>
          <w:rFonts w:hint="default" w:ascii="Times New Roman" w:hAnsi="Times New Roman" w:eastAsia="楷体_GB2312" w:cs="Times New Roman"/>
          <w:b/>
          <w:bCs/>
          <w:spacing w:val="-6"/>
          <w:kern w:val="0"/>
          <w:sz w:val="32"/>
          <w:szCs w:val="32"/>
          <w:highlight w:val="none"/>
          <w:lang w:eastAsia="zh-CN" w:bidi="ar"/>
        </w:rPr>
        <w:t>（三）深入推进现代预算制度改革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40"/>
          <w:lang w:val="en-US" w:eastAsia="zh-CN"/>
        </w:rPr>
        <w:t>进一步完善预算管理制度，提升预算管理规范化、科学化、标准化水平。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 w:bidi="ar"/>
        </w:rPr>
        <w:t>一是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加强预算统筹，增强保障能力。优化资源配置，提升财政政策资金效能。规范预算执行，硬化预算约束，严格预算监管，提高预算管理信息化水平。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 w:bidi="ar"/>
        </w:rPr>
        <w:t>二是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严格落实政府债务限额管理，坚决遏制隐性债务增量，妥善化解存量，强化债务全过程、多方位监管，牢牢守住不发生系统性风险的底线。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 w:bidi="ar"/>
        </w:rPr>
        <w:t>三是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推进预算绩效管理提质增效，将预算绩效管理的理念贯穿资金、资产、资源配置全过程，花钱必问效，无效必问责，将绩效评价结果与完善政策、调整预算安排有效衔接。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619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spacing w:val="-6"/>
          <w:kern w:val="0"/>
          <w:sz w:val="32"/>
          <w:szCs w:val="32"/>
          <w:highlight w:val="none"/>
          <w:lang w:eastAsia="zh-CN" w:bidi="ar"/>
        </w:rPr>
      </w:pPr>
      <w:r>
        <w:rPr>
          <w:rFonts w:hint="default" w:ascii="Times New Roman" w:hAnsi="Times New Roman" w:eastAsia="楷体_GB2312" w:cs="Times New Roman"/>
          <w:b/>
          <w:bCs/>
          <w:spacing w:val="-6"/>
          <w:kern w:val="0"/>
          <w:sz w:val="32"/>
          <w:szCs w:val="32"/>
          <w:highlight w:val="none"/>
          <w:lang w:eastAsia="zh-CN" w:bidi="ar"/>
        </w:rPr>
        <w:t>（四）持续提高财政管理效能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进一步健全财政管理制度，推动财政管理效能再提升。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eastAsia="zh-CN" w:bidi="ar"/>
        </w:rPr>
        <w:t>一是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着力完善节约型财政保障机制，集约节约利用政府资源，严格非生产性支出，降低公务活动成本，构建节约型机关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 w:bidi="ar"/>
        </w:rPr>
        <w:t>。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eastAsia="zh-CN" w:bidi="ar"/>
        </w:rPr>
        <w:t>二是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 w:bidi="ar"/>
        </w:rPr>
        <w:t>进一步健全财政评审制度，完善投资评审操作规程和评审程序，规范评审业务运行管理，统一评审标准，持续提升评审质效。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eastAsia="zh-CN" w:bidi="ar"/>
        </w:rPr>
        <w:t>三是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 w:bidi="ar"/>
        </w:rPr>
        <w:t>不断完善政府采购机制，优化采购组织方式，提高采购绩效，推动绿色采购发展，依法保障各类市场主体公平参与政府采购竞争，持续优化政府采购营商环境。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eastAsia="zh-CN" w:bidi="ar"/>
        </w:rPr>
        <w:t>四是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"/>
        </w:rPr>
        <w:t>着力锤炼财政专业人才队伍，进一步强化思想淬炼、政治历练、实践锻炼、专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kern w:val="0"/>
          <w:sz w:val="32"/>
          <w:szCs w:val="32"/>
          <w:lang w:val="en-US" w:eastAsia="zh-CN" w:bidi="ar"/>
        </w:rPr>
        <w:t>业训练，引导财政干部永葆“闯”的精神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kern w:val="0"/>
          <w:sz w:val="32"/>
          <w:szCs w:val="32"/>
          <w:lang w:eastAsia="zh-CN" w:bidi="ar"/>
        </w:rPr>
        <w:t>、“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kern w:val="0"/>
          <w:sz w:val="32"/>
          <w:szCs w:val="32"/>
          <w:lang w:val="en-US" w:eastAsia="zh-CN" w:bidi="ar"/>
        </w:rPr>
        <w:t>创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kern w:val="0"/>
          <w:sz w:val="32"/>
          <w:szCs w:val="32"/>
          <w:lang w:eastAsia="zh-CN" w:bidi="ar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kern w:val="0"/>
          <w:sz w:val="32"/>
          <w:szCs w:val="32"/>
          <w:lang w:val="en-US" w:eastAsia="zh-CN" w:bidi="ar"/>
        </w:rPr>
        <w:t>的劲头、“干”的作风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各位代表，202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年我们将在区委、区政府的正确领导下，自觉接受区人大及其常委会的监督和指导，认真听取区政协的意见和建议，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 w:bidi="ar"/>
        </w:rPr>
        <w:t>守正创新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 w:bidi="ar"/>
        </w:rPr>
        <w:t>埋头苦干，团结拼搏，奋勇前进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，为建设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现代化新望城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作出新的更大贡献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lang w:bidi="ar"/>
        </w:rPr>
        <w:t>！</w:t>
      </w:r>
    </w:p>
    <w:sectPr>
      <w:pgSz w:w="11906" w:h="16441"/>
      <w:pgMar w:top="1701" w:right="1587" w:bottom="1417" w:left="1587" w:header="851" w:footer="1134" w:gutter="0"/>
      <w:pgNumType w:fmt="decimal" w:start="28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038748"/>
    <w:multiLevelType w:val="singleLevel"/>
    <w:tmpl w:val="9603874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mirrorMargin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1NDM0YWY1YmZjMzIxMTlkM2ZjMDEzMjc2NWI2NjMifQ=="/>
  </w:docVars>
  <w:rsids>
    <w:rsidRoot w:val="077366FF"/>
    <w:rsid w:val="0005446F"/>
    <w:rsid w:val="001A1555"/>
    <w:rsid w:val="0029475B"/>
    <w:rsid w:val="00297FF8"/>
    <w:rsid w:val="00382F58"/>
    <w:rsid w:val="003C55F7"/>
    <w:rsid w:val="00406195"/>
    <w:rsid w:val="00414E3B"/>
    <w:rsid w:val="004A7120"/>
    <w:rsid w:val="005730BC"/>
    <w:rsid w:val="006202CE"/>
    <w:rsid w:val="00642564"/>
    <w:rsid w:val="00652131"/>
    <w:rsid w:val="0066795B"/>
    <w:rsid w:val="006F50C1"/>
    <w:rsid w:val="0070013B"/>
    <w:rsid w:val="00741887"/>
    <w:rsid w:val="008815F4"/>
    <w:rsid w:val="008D331F"/>
    <w:rsid w:val="008E6A77"/>
    <w:rsid w:val="00984A2E"/>
    <w:rsid w:val="00A13BDF"/>
    <w:rsid w:val="00A71F86"/>
    <w:rsid w:val="00A956EB"/>
    <w:rsid w:val="00AB00BF"/>
    <w:rsid w:val="00AD3474"/>
    <w:rsid w:val="00AF1E8F"/>
    <w:rsid w:val="00B70AC6"/>
    <w:rsid w:val="00B973C7"/>
    <w:rsid w:val="00C570E0"/>
    <w:rsid w:val="00CA67D8"/>
    <w:rsid w:val="00CC4DAC"/>
    <w:rsid w:val="00CE097A"/>
    <w:rsid w:val="00D1317E"/>
    <w:rsid w:val="00D20C70"/>
    <w:rsid w:val="00D40E77"/>
    <w:rsid w:val="00D42B17"/>
    <w:rsid w:val="00D62CE3"/>
    <w:rsid w:val="00D70D3D"/>
    <w:rsid w:val="00DD1925"/>
    <w:rsid w:val="00E67812"/>
    <w:rsid w:val="00EF06E5"/>
    <w:rsid w:val="00F110E6"/>
    <w:rsid w:val="00F4565F"/>
    <w:rsid w:val="00F66363"/>
    <w:rsid w:val="00F9075C"/>
    <w:rsid w:val="014E0007"/>
    <w:rsid w:val="018A1427"/>
    <w:rsid w:val="01904306"/>
    <w:rsid w:val="01BC5A03"/>
    <w:rsid w:val="02154759"/>
    <w:rsid w:val="02331ABF"/>
    <w:rsid w:val="02C66843"/>
    <w:rsid w:val="02DE5ECF"/>
    <w:rsid w:val="03046DA6"/>
    <w:rsid w:val="033D0C8E"/>
    <w:rsid w:val="033E4BBF"/>
    <w:rsid w:val="036A26A5"/>
    <w:rsid w:val="03C5669D"/>
    <w:rsid w:val="042042C5"/>
    <w:rsid w:val="044664FB"/>
    <w:rsid w:val="04553F6E"/>
    <w:rsid w:val="04EC3238"/>
    <w:rsid w:val="04FD19A1"/>
    <w:rsid w:val="058E7F6E"/>
    <w:rsid w:val="05E607F3"/>
    <w:rsid w:val="0611788E"/>
    <w:rsid w:val="06B97FA5"/>
    <w:rsid w:val="06CD5EC0"/>
    <w:rsid w:val="06FB4F78"/>
    <w:rsid w:val="070822FA"/>
    <w:rsid w:val="07170239"/>
    <w:rsid w:val="072E48AC"/>
    <w:rsid w:val="077366FF"/>
    <w:rsid w:val="07F71BE3"/>
    <w:rsid w:val="08144D2C"/>
    <w:rsid w:val="083828AA"/>
    <w:rsid w:val="088A61CA"/>
    <w:rsid w:val="08AD266A"/>
    <w:rsid w:val="08B576D2"/>
    <w:rsid w:val="08BC0C40"/>
    <w:rsid w:val="08BD7AF2"/>
    <w:rsid w:val="08C7319E"/>
    <w:rsid w:val="08CF6497"/>
    <w:rsid w:val="08FD2E27"/>
    <w:rsid w:val="091B0DA6"/>
    <w:rsid w:val="092C0103"/>
    <w:rsid w:val="0A1E04B3"/>
    <w:rsid w:val="0A4A298F"/>
    <w:rsid w:val="0AAE209E"/>
    <w:rsid w:val="0AB30B30"/>
    <w:rsid w:val="0AD27399"/>
    <w:rsid w:val="0B0E658F"/>
    <w:rsid w:val="0B417233"/>
    <w:rsid w:val="0BF732F3"/>
    <w:rsid w:val="0C03755F"/>
    <w:rsid w:val="0CA92C00"/>
    <w:rsid w:val="0CD11743"/>
    <w:rsid w:val="0D8C5918"/>
    <w:rsid w:val="0D9866B4"/>
    <w:rsid w:val="0D986AD9"/>
    <w:rsid w:val="0DA645CC"/>
    <w:rsid w:val="0E691D45"/>
    <w:rsid w:val="0E7717C7"/>
    <w:rsid w:val="0E8037DA"/>
    <w:rsid w:val="0E932EC6"/>
    <w:rsid w:val="0ED865F3"/>
    <w:rsid w:val="0EF3685E"/>
    <w:rsid w:val="0F02007F"/>
    <w:rsid w:val="0F1F6049"/>
    <w:rsid w:val="0F425C21"/>
    <w:rsid w:val="0F68330C"/>
    <w:rsid w:val="0FAF33BD"/>
    <w:rsid w:val="0FC93A62"/>
    <w:rsid w:val="0FFC0867"/>
    <w:rsid w:val="0FFF1232"/>
    <w:rsid w:val="102D3AD2"/>
    <w:rsid w:val="103B495C"/>
    <w:rsid w:val="10495795"/>
    <w:rsid w:val="105552F6"/>
    <w:rsid w:val="107A01F3"/>
    <w:rsid w:val="10AA5642"/>
    <w:rsid w:val="11154924"/>
    <w:rsid w:val="1138093B"/>
    <w:rsid w:val="11457119"/>
    <w:rsid w:val="11B20DB7"/>
    <w:rsid w:val="11C56429"/>
    <w:rsid w:val="11DF3CB1"/>
    <w:rsid w:val="124B75F4"/>
    <w:rsid w:val="126C14BA"/>
    <w:rsid w:val="13090D5B"/>
    <w:rsid w:val="136C6430"/>
    <w:rsid w:val="13DA4B49"/>
    <w:rsid w:val="13E37358"/>
    <w:rsid w:val="141D0BDE"/>
    <w:rsid w:val="142E20E6"/>
    <w:rsid w:val="14887A48"/>
    <w:rsid w:val="148D505F"/>
    <w:rsid w:val="1498479A"/>
    <w:rsid w:val="14D31078"/>
    <w:rsid w:val="15063063"/>
    <w:rsid w:val="1540796A"/>
    <w:rsid w:val="15AD0B11"/>
    <w:rsid w:val="160E0421"/>
    <w:rsid w:val="161406DA"/>
    <w:rsid w:val="16D451C7"/>
    <w:rsid w:val="16E3365C"/>
    <w:rsid w:val="17065E61"/>
    <w:rsid w:val="170A047A"/>
    <w:rsid w:val="173A01B7"/>
    <w:rsid w:val="17746772"/>
    <w:rsid w:val="178522D8"/>
    <w:rsid w:val="17BD5C5B"/>
    <w:rsid w:val="17D411F6"/>
    <w:rsid w:val="17E128B1"/>
    <w:rsid w:val="182E7055"/>
    <w:rsid w:val="18371EB1"/>
    <w:rsid w:val="1847241D"/>
    <w:rsid w:val="184C3DC8"/>
    <w:rsid w:val="18502F73"/>
    <w:rsid w:val="189F7A56"/>
    <w:rsid w:val="18A31500"/>
    <w:rsid w:val="194F7294"/>
    <w:rsid w:val="198B5F18"/>
    <w:rsid w:val="1A460D14"/>
    <w:rsid w:val="1AA53A84"/>
    <w:rsid w:val="1AC003DA"/>
    <w:rsid w:val="1AC15A62"/>
    <w:rsid w:val="1AC6341C"/>
    <w:rsid w:val="1AFF658A"/>
    <w:rsid w:val="1B9D556D"/>
    <w:rsid w:val="1C4E71CE"/>
    <w:rsid w:val="1C6F0685"/>
    <w:rsid w:val="1C7E5266"/>
    <w:rsid w:val="1D1F4DE1"/>
    <w:rsid w:val="1D436710"/>
    <w:rsid w:val="1D575AA1"/>
    <w:rsid w:val="1D725739"/>
    <w:rsid w:val="1D9A6C81"/>
    <w:rsid w:val="1DAA7DF9"/>
    <w:rsid w:val="1DD957B9"/>
    <w:rsid w:val="1EC92859"/>
    <w:rsid w:val="1F374FD2"/>
    <w:rsid w:val="1F6D45FE"/>
    <w:rsid w:val="20201F8A"/>
    <w:rsid w:val="205725A1"/>
    <w:rsid w:val="20D87C7B"/>
    <w:rsid w:val="21093207"/>
    <w:rsid w:val="210A20AA"/>
    <w:rsid w:val="21246ABA"/>
    <w:rsid w:val="213351E0"/>
    <w:rsid w:val="2157324D"/>
    <w:rsid w:val="2164183D"/>
    <w:rsid w:val="21763FA1"/>
    <w:rsid w:val="21AE2C2B"/>
    <w:rsid w:val="21E473BA"/>
    <w:rsid w:val="21EA1D42"/>
    <w:rsid w:val="21EC0E68"/>
    <w:rsid w:val="2228564D"/>
    <w:rsid w:val="22B25371"/>
    <w:rsid w:val="22EB23C3"/>
    <w:rsid w:val="23C07FA9"/>
    <w:rsid w:val="23CA3EAF"/>
    <w:rsid w:val="23D16EAF"/>
    <w:rsid w:val="23D335CD"/>
    <w:rsid w:val="242121A5"/>
    <w:rsid w:val="24462EA7"/>
    <w:rsid w:val="244A6115"/>
    <w:rsid w:val="248B2321"/>
    <w:rsid w:val="24D21919"/>
    <w:rsid w:val="251A7A45"/>
    <w:rsid w:val="253405AC"/>
    <w:rsid w:val="255E6441"/>
    <w:rsid w:val="25862424"/>
    <w:rsid w:val="261C6D63"/>
    <w:rsid w:val="26572AAE"/>
    <w:rsid w:val="2677791D"/>
    <w:rsid w:val="26832765"/>
    <w:rsid w:val="26977FBF"/>
    <w:rsid w:val="26A653AD"/>
    <w:rsid w:val="26AA6504"/>
    <w:rsid w:val="26C67A19"/>
    <w:rsid w:val="270C62B7"/>
    <w:rsid w:val="27B84691"/>
    <w:rsid w:val="27C27356"/>
    <w:rsid w:val="27C97AA0"/>
    <w:rsid w:val="28095E0B"/>
    <w:rsid w:val="28673F08"/>
    <w:rsid w:val="28A0515D"/>
    <w:rsid w:val="28EA7C93"/>
    <w:rsid w:val="294D2BB7"/>
    <w:rsid w:val="294E705B"/>
    <w:rsid w:val="29A52147"/>
    <w:rsid w:val="29C225A0"/>
    <w:rsid w:val="29F63F06"/>
    <w:rsid w:val="2A0935C2"/>
    <w:rsid w:val="2A587A97"/>
    <w:rsid w:val="2ABF1892"/>
    <w:rsid w:val="2AD04472"/>
    <w:rsid w:val="2AD46AA2"/>
    <w:rsid w:val="2BB14F1E"/>
    <w:rsid w:val="2C183950"/>
    <w:rsid w:val="2C4B5AD3"/>
    <w:rsid w:val="2CE847DE"/>
    <w:rsid w:val="2CEF7A5E"/>
    <w:rsid w:val="2CFF4435"/>
    <w:rsid w:val="2D01378E"/>
    <w:rsid w:val="2D380F12"/>
    <w:rsid w:val="2DEB38FD"/>
    <w:rsid w:val="2E0B2255"/>
    <w:rsid w:val="2E212BC2"/>
    <w:rsid w:val="2E5A0250"/>
    <w:rsid w:val="2E960F7F"/>
    <w:rsid w:val="2EC53D13"/>
    <w:rsid w:val="2F1E67B8"/>
    <w:rsid w:val="2F2B74F6"/>
    <w:rsid w:val="2F2E6FE6"/>
    <w:rsid w:val="2F4D6CBE"/>
    <w:rsid w:val="2FA23C5C"/>
    <w:rsid w:val="2FDB716E"/>
    <w:rsid w:val="2FF16992"/>
    <w:rsid w:val="301A7179"/>
    <w:rsid w:val="304B38E6"/>
    <w:rsid w:val="308B1B90"/>
    <w:rsid w:val="309A1D1D"/>
    <w:rsid w:val="30D4700E"/>
    <w:rsid w:val="30EE38DF"/>
    <w:rsid w:val="317C228B"/>
    <w:rsid w:val="31B65C76"/>
    <w:rsid w:val="31E312A9"/>
    <w:rsid w:val="31F92CDE"/>
    <w:rsid w:val="320F75A3"/>
    <w:rsid w:val="325062AA"/>
    <w:rsid w:val="32DF17E8"/>
    <w:rsid w:val="33720DC8"/>
    <w:rsid w:val="33B31B1F"/>
    <w:rsid w:val="33B71CA0"/>
    <w:rsid w:val="33C165BA"/>
    <w:rsid w:val="33C43A57"/>
    <w:rsid w:val="34622093"/>
    <w:rsid w:val="35197D2E"/>
    <w:rsid w:val="352C1F8C"/>
    <w:rsid w:val="35CD4A5B"/>
    <w:rsid w:val="35E8508E"/>
    <w:rsid w:val="36767ADB"/>
    <w:rsid w:val="369151DD"/>
    <w:rsid w:val="36BC3E63"/>
    <w:rsid w:val="373901AC"/>
    <w:rsid w:val="37514183"/>
    <w:rsid w:val="378974B0"/>
    <w:rsid w:val="37AB1B1C"/>
    <w:rsid w:val="38113A94"/>
    <w:rsid w:val="382301D4"/>
    <w:rsid w:val="38542D98"/>
    <w:rsid w:val="38615506"/>
    <w:rsid w:val="39176932"/>
    <w:rsid w:val="39412BCF"/>
    <w:rsid w:val="39490FF0"/>
    <w:rsid w:val="395C5E2A"/>
    <w:rsid w:val="39C83849"/>
    <w:rsid w:val="3A730E6C"/>
    <w:rsid w:val="3A8F14ED"/>
    <w:rsid w:val="3AC01CDF"/>
    <w:rsid w:val="3AFA61BB"/>
    <w:rsid w:val="3B6F679A"/>
    <w:rsid w:val="3BB05953"/>
    <w:rsid w:val="3BDA7E48"/>
    <w:rsid w:val="3CAA2A7C"/>
    <w:rsid w:val="3CD45671"/>
    <w:rsid w:val="3D1A13E0"/>
    <w:rsid w:val="3D224C7F"/>
    <w:rsid w:val="3D344362"/>
    <w:rsid w:val="3D7657FB"/>
    <w:rsid w:val="3DBD4202"/>
    <w:rsid w:val="3DE47B36"/>
    <w:rsid w:val="3DFB78E5"/>
    <w:rsid w:val="3E662C34"/>
    <w:rsid w:val="3ED73336"/>
    <w:rsid w:val="3FAF7DFC"/>
    <w:rsid w:val="3FB377C0"/>
    <w:rsid w:val="3FCA54BF"/>
    <w:rsid w:val="3FF62E92"/>
    <w:rsid w:val="401778BF"/>
    <w:rsid w:val="40237083"/>
    <w:rsid w:val="402D3E06"/>
    <w:rsid w:val="40532443"/>
    <w:rsid w:val="411409E6"/>
    <w:rsid w:val="41BD2956"/>
    <w:rsid w:val="41DB5EA6"/>
    <w:rsid w:val="426F1BBB"/>
    <w:rsid w:val="42C23082"/>
    <w:rsid w:val="433B23A0"/>
    <w:rsid w:val="44137971"/>
    <w:rsid w:val="44C62C69"/>
    <w:rsid w:val="44CD0E59"/>
    <w:rsid w:val="44D141D8"/>
    <w:rsid w:val="452E5584"/>
    <w:rsid w:val="453A628D"/>
    <w:rsid w:val="459703D8"/>
    <w:rsid w:val="45EB1CEA"/>
    <w:rsid w:val="45FE72BB"/>
    <w:rsid w:val="464253F9"/>
    <w:rsid w:val="465F0694"/>
    <w:rsid w:val="46C67DD9"/>
    <w:rsid w:val="46F10DEC"/>
    <w:rsid w:val="46F13041"/>
    <w:rsid w:val="46F22B48"/>
    <w:rsid w:val="474D3993"/>
    <w:rsid w:val="47705F96"/>
    <w:rsid w:val="477C0AA2"/>
    <w:rsid w:val="47A85158"/>
    <w:rsid w:val="47C54858"/>
    <w:rsid w:val="47E07B54"/>
    <w:rsid w:val="47F45B42"/>
    <w:rsid w:val="480C54A1"/>
    <w:rsid w:val="481F45A3"/>
    <w:rsid w:val="483B5C2C"/>
    <w:rsid w:val="484D1C78"/>
    <w:rsid w:val="489C7CFF"/>
    <w:rsid w:val="48E56B25"/>
    <w:rsid w:val="48E96000"/>
    <w:rsid w:val="493C6A78"/>
    <w:rsid w:val="495E079C"/>
    <w:rsid w:val="49A62217"/>
    <w:rsid w:val="4A0804EC"/>
    <w:rsid w:val="4A643255"/>
    <w:rsid w:val="4A9D343C"/>
    <w:rsid w:val="4A9F4FAB"/>
    <w:rsid w:val="4B320BC3"/>
    <w:rsid w:val="4B3A487C"/>
    <w:rsid w:val="4B3C503B"/>
    <w:rsid w:val="4B45676A"/>
    <w:rsid w:val="4B656246"/>
    <w:rsid w:val="4BB21D4E"/>
    <w:rsid w:val="4BBE4F6C"/>
    <w:rsid w:val="4BDC284F"/>
    <w:rsid w:val="4C013A59"/>
    <w:rsid w:val="4C374FBD"/>
    <w:rsid w:val="4C3C28EB"/>
    <w:rsid w:val="4C427EE7"/>
    <w:rsid w:val="4C463B1D"/>
    <w:rsid w:val="4D086849"/>
    <w:rsid w:val="4DA35F27"/>
    <w:rsid w:val="4DE17BEE"/>
    <w:rsid w:val="4DEE726A"/>
    <w:rsid w:val="4E6A0403"/>
    <w:rsid w:val="4EB22657"/>
    <w:rsid w:val="4EBC47C0"/>
    <w:rsid w:val="50314E66"/>
    <w:rsid w:val="50BF5CCD"/>
    <w:rsid w:val="5124502A"/>
    <w:rsid w:val="513152FE"/>
    <w:rsid w:val="51422751"/>
    <w:rsid w:val="51D752A3"/>
    <w:rsid w:val="51E5389D"/>
    <w:rsid w:val="524D2D16"/>
    <w:rsid w:val="5297700F"/>
    <w:rsid w:val="52A72EDD"/>
    <w:rsid w:val="52DB4C0C"/>
    <w:rsid w:val="539323B2"/>
    <w:rsid w:val="53AE2320"/>
    <w:rsid w:val="53E62999"/>
    <w:rsid w:val="53E82964"/>
    <w:rsid w:val="54452B0D"/>
    <w:rsid w:val="54726F58"/>
    <w:rsid w:val="54C13334"/>
    <w:rsid w:val="55535020"/>
    <w:rsid w:val="556F2D08"/>
    <w:rsid w:val="55FA4A45"/>
    <w:rsid w:val="560C1EA2"/>
    <w:rsid w:val="562E6334"/>
    <w:rsid w:val="56392E3B"/>
    <w:rsid w:val="567A3BAF"/>
    <w:rsid w:val="56854D70"/>
    <w:rsid w:val="56C87B9D"/>
    <w:rsid w:val="56CF1816"/>
    <w:rsid w:val="57034731"/>
    <w:rsid w:val="580C4F84"/>
    <w:rsid w:val="58237520"/>
    <w:rsid w:val="584A6390"/>
    <w:rsid w:val="58647451"/>
    <w:rsid w:val="587420EA"/>
    <w:rsid w:val="58D46373"/>
    <w:rsid w:val="58E26523"/>
    <w:rsid w:val="59957226"/>
    <w:rsid w:val="5A2A39C7"/>
    <w:rsid w:val="5A455637"/>
    <w:rsid w:val="5A45564A"/>
    <w:rsid w:val="5A601E9A"/>
    <w:rsid w:val="5B1922E3"/>
    <w:rsid w:val="5B897179"/>
    <w:rsid w:val="5BC07095"/>
    <w:rsid w:val="5BD73C32"/>
    <w:rsid w:val="5BF04F02"/>
    <w:rsid w:val="5C1535D3"/>
    <w:rsid w:val="5C2A09B2"/>
    <w:rsid w:val="5C3F26AF"/>
    <w:rsid w:val="5C6C40F0"/>
    <w:rsid w:val="5C871960"/>
    <w:rsid w:val="5CFA01CA"/>
    <w:rsid w:val="5D4664EB"/>
    <w:rsid w:val="5D6F395E"/>
    <w:rsid w:val="5DCD3CEB"/>
    <w:rsid w:val="5E1D63E6"/>
    <w:rsid w:val="5E573A83"/>
    <w:rsid w:val="5E84495C"/>
    <w:rsid w:val="5ECB6FC3"/>
    <w:rsid w:val="5EDE62F6"/>
    <w:rsid w:val="5F4B4F26"/>
    <w:rsid w:val="5FA9689A"/>
    <w:rsid w:val="600D03CE"/>
    <w:rsid w:val="607534A3"/>
    <w:rsid w:val="61386CC4"/>
    <w:rsid w:val="614C3178"/>
    <w:rsid w:val="618E3791"/>
    <w:rsid w:val="61D76EE6"/>
    <w:rsid w:val="62770210"/>
    <w:rsid w:val="630C45C9"/>
    <w:rsid w:val="631A352E"/>
    <w:rsid w:val="63233C5B"/>
    <w:rsid w:val="633800E6"/>
    <w:rsid w:val="638E1826"/>
    <w:rsid w:val="63A52F91"/>
    <w:rsid w:val="63E15DFA"/>
    <w:rsid w:val="63F3085E"/>
    <w:rsid w:val="63F316CA"/>
    <w:rsid w:val="64206C2C"/>
    <w:rsid w:val="64755629"/>
    <w:rsid w:val="64765479"/>
    <w:rsid w:val="64784A60"/>
    <w:rsid w:val="64D345F2"/>
    <w:rsid w:val="654F2FE4"/>
    <w:rsid w:val="66577FF0"/>
    <w:rsid w:val="66705A3E"/>
    <w:rsid w:val="66932437"/>
    <w:rsid w:val="669442AF"/>
    <w:rsid w:val="669A12D4"/>
    <w:rsid w:val="669E6E16"/>
    <w:rsid w:val="67011908"/>
    <w:rsid w:val="670D0AB6"/>
    <w:rsid w:val="673B3A73"/>
    <w:rsid w:val="67411223"/>
    <w:rsid w:val="676905E0"/>
    <w:rsid w:val="679F02B4"/>
    <w:rsid w:val="67B42510"/>
    <w:rsid w:val="67D864FA"/>
    <w:rsid w:val="68243225"/>
    <w:rsid w:val="68271289"/>
    <w:rsid w:val="68714755"/>
    <w:rsid w:val="68A55523"/>
    <w:rsid w:val="68B8492A"/>
    <w:rsid w:val="68CB39A0"/>
    <w:rsid w:val="68E65D34"/>
    <w:rsid w:val="6903771E"/>
    <w:rsid w:val="692B510F"/>
    <w:rsid w:val="69803B38"/>
    <w:rsid w:val="69AA6601"/>
    <w:rsid w:val="6A5111D8"/>
    <w:rsid w:val="6A6B17DE"/>
    <w:rsid w:val="6A7C2D94"/>
    <w:rsid w:val="6B81481F"/>
    <w:rsid w:val="6B861ECF"/>
    <w:rsid w:val="6C554BB3"/>
    <w:rsid w:val="6C861C34"/>
    <w:rsid w:val="6CCD459F"/>
    <w:rsid w:val="6CDD7709"/>
    <w:rsid w:val="6D197128"/>
    <w:rsid w:val="6D1D347E"/>
    <w:rsid w:val="6D691483"/>
    <w:rsid w:val="6D926620"/>
    <w:rsid w:val="6E214EF3"/>
    <w:rsid w:val="6EB80264"/>
    <w:rsid w:val="6F14721D"/>
    <w:rsid w:val="6F1928EC"/>
    <w:rsid w:val="6F1D7F4D"/>
    <w:rsid w:val="6F4573A6"/>
    <w:rsid w:val="6F836CF3"/>
    <w:rsid w:val="6FC96C49"/>
    <w:rsid w:val="6FE80510"/>
    <w:rsid w:val="6FFE16D7"/>
    <w:rsid w:val="701B7ADC"/>
    <w:rsid w:val="70335239"/>
    <w:rsid w:val="7042077C"/>
    <w:rsid w:val="704C7C5C"/>
    <w:rsid w:val="705975C1"/>
    <w:rsid w:val="710B44B6"/>
    <w:rsid w:val="71562671"/>
    <w:rsid w:val="718E7BAB"/>
    <w:rsid w:val="71AA3CCF"/>
    <w:rsid w:val="71C760F9"/>
    <w:rsid w:val="71FC6926"/>
    <w:rsid w:val="723C2348"/>
    <w:rsid w:val="725C54B8"/>
    <w:rsid w:val="730001E4"/>
    <w:rsid w:val="733B7200"/>
    <w:rsid w:val="73663C4C"/>
    <w:rsid w:val="736A46F5"/>
    <w:rsid w:val="73CB43D1"/>
    <w:rsid w:val="73D06AC6"/>
    <w:rsid w:val="73F92CEC"/>
    <w:rsid w:val="74546A39"/>
    <w:rsid w:val="74BF65A3"/>
    <w:rsid w:val="74C6483A"/>
    <w:rsid w:val="751C7C81"/>
    <w:rsid w:val="75550A98"/>
    <w:rsid w:val="75635069"/>
    <w:rsid w:val="76980B0F"/>
    <w:rsid w:val="773E460A"/>
    <w:rsid w:val="77723E17"/>
    <w:rsid w:val="77F02C97"/>
    <w:rsid w:val="78623556"/>
    <w:rsid w:val="78672BD9"/>
    <w:rsid w:val="78C22246"/>
    <w:rsid w:val="78E40EA4"/>
    <w:rsid w:val="79062731"/>
    <w:rsid w:val="793332BF"/>
    <w:rsid w:val="793C0F02"/>
    <w:rsid w:val="79554273"/>
    <w:rsid w:val="79825532"/>
    <w:rsid w:val="799F795E"/>
    <w:rsid w:val="79BA4CCB"/>
    <w:rsid w:val="79E900A0"/>
    <w:rsid w:val="7A2D1870"/>
    <w:rsid w:val="7A7E74FA"/>
    <w:rsid w:val="7AA05C27"/>
    <w:rsid w:val="7AB231BB"/>
    <w:rsid w:val="7B0D7FFB"/>
    <w:rsid w:val="7B194771"/>
    <w:rsid w:val="7B346CFF"/>
    <w:rsid w:val="7B4A536F"/>
    <w:rsid w:val="7B9C5EBD"/>
    <w:rsid w:val="7BDD2EF3"/>
    <w:rsid w:val="7BF15D5A"/>
    <w:rsid w:val="7C3A64F7"/>
    <w:rsid w:val="7C646AF9"/>
    <w:rsid w:val="7CB02A09"/>
    <w:rsid w:val="7CC75552"/>
    <w:rsid w:val="7CE92297"/>
    <w:rsid w:val="7D102A88"/>
    <w:rsid w:val="7D5B0573"/>
    <w:rsid w:val="7D5F4E8A"/>
    <w:rsid w:val="7D6729DA"/>
    <w:rsid w:val="7D7B6E68"/>
    <w:rsid w:val="7DA72476"/>
    <w:rsid w:val="7DC96ECF"/>
    <w:rsid w:val="7E7F5FA7"/>
    <w:rsid w:val="7EBF72AB"/>
    <w:rsid w:val="7F47310E"/>
    <w:rsid w:val="7F717C92"/>
    <w:rsid w:val="7FE8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4">
    <w:name w:val="heading 2"/>
    <w:basedOn w:val="1"/>
    <w:next w:val="1"/>
    <w:unhideWhenUsed/>
    <w:qFormat/>
    <w:uiPriority w:val="0"/>
    <w:pPr>
      <w:jc w:val="left"/>
      <w:outlineLvl w:val="1"/>
    </w:pPr>
    <w:rPr>
      <w:rFonts w:hint="eastAsia" w:ascii="微软雅黑" w:hAnsi="微软雅黑" w:eastAsia="微软雅黑" w:cs="Times New Roman"/>
      <w:b/>
      <w:color w:val="262626"/>
      <w:kern w:val="0"/>
      <w:sz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1"/>
    <w:semiHidden/>
    <w:qFormat/>
    <w:uiPriority w:val="99"/>
    <w:pPr>
      <w:widowControl w:val="0"/>
      <w:snapToGrid w:val="0"/>
      <w:jc w:val="left"/>
    </w:pPr>
    <w:rPr>
      <w:rFonts w:ascii="Calibri" w:hAnsi="Calibri" w:eastAsia="宋体" w:cs="Calibri"/>
      <w:kern w:val="2"/>
      <w:sz w:val="18"/>
      <w:szCs w:val="18"/>
      <w:lang w:val="en-US" w:eastAsia="zh-CN" w:bidi="ar-SA"/>
    </w:rPr>
  </w:style>
  <w:style w:type="paragraph" w:styleId="5">
    <w:name w:val="Date"/>
    <w:basedOn w:val="1"/>
    <w:next w:val="1"/>
    <w:link w:val="25"/>
    <w:qFormat/>
    <w:uiPriority w:val="0"/>
    <w:pPr>
      <w:ind w:left="100" w:leftChars="2500"/>
    </w:pPr>
  </w:style>
  <w:style w:type="paragraph" w:styleId="6">
    <w:name w:val="Balloon Text"/>
    <w:basedOn w:val="1"/>
    <w:link w:val="24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4C4C4C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Acronym"/>
    <w:basedOn w:val="10"/>
    <w:qFormat/>
    <w:uiPriority w:val="0"/>
  </w:style>
  <w:style w:type="character" w:styleId="16">
    <w:name w:val="HTML Variable"/>
    <w:basedOn w:val="10"/>
    <w:qFormat/>
    <w:uiPriority w:val="0"/>
  </w:style>
  <w:style w:type="character" w:styleId="17">
    <w:name w:val="Hyperlink"/>
    <w:basedOn w:val="10"/>
    <w:qFormat/>
    <w:uiPriority w:val="0"/>
    <w:rPr>
      <w:color w:val="4C4C4C"/>
      <w:u w:val="none"/>
    </w:rPr>
  </w:style>
  <w:style w:type="character" w:styleId="18">
    <w:name w:val="HTML Code"/>
    <w:basedOn w:val="10"/>
    <w:qFormat/>
    <w:uiPriority w:val="0"/>
    <w:rPr>
      <w:rFonts w:hint="eastAsia" w:ascii="微软雅黑" w:hAnsi="微软雅黑" w:eastAsia="微软雅黑" w:cs="微软雅黑"/>
      <w:color w:val="262626"/>
      <w:sz w:val="21"/>
      <w:szCs w:val="21"/>
    </w:rPr>
  </w:style>
  <w:style w:type="character" w:styleId="19">
    <w:name w:val="HTML Cite"/>
    <w:basedOn w:val="10"/>
    <w:qFormat/>
    <w:uiPriority w:val="0"/>
  </w:style>
  <w:style w:type="character" w:customStyle="1" w:styleId="20">
    <w:name w:val="span-bg"/>
    <w:basedOn w:val="10"/>
    <w:qFormat/>
    <w:uiPriority w:val="0"/>
  </w:style>
  <w:style w:type="character" w:customStyle="1" w:styleId="21">
    <w:name w:val="span-hover"/>
    <w:basedOn w:val="10"/>
    <w:qFormat/>
    <w:uiPriority w:val="0"/>
  </w:style>
  <w:style w:type="character" w:customStyle="1" w:styleId="22">
    <w:name w:val="span-bg12"/>
    <w:basedOn w:val="10"/>
    <w:qFormat/>
    <w:uiPriority w:val="0"/>
  </w:style>
  <w:style w:type="character" w:customStyle="1" w:styleId="23">
    <w:name w:val="span-hover8"/>
    <w:basedOn w:val="10"/>
    <w:qFormat/>
    <w:uiPriority w:val="0"/>
  </w:style>
  <w:style w:type="character" w:customStyle="1" w:styleId="24">
    <w:name w:val="批注框文本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日期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Www.51Gho.Net</Company>
  <Pages>15</Pages>
  <Words>7291</Words>
  <Characters>8136</Characters>
  <Lines>25</Lines>
  <Paragraphs>7</Paragraphs>
  <TotalTime>131</TotalTime>
  <ScaleCrop>false</ScaleCrop>
  <LinksUpToDate>false</LinksUpToDate>
  <CharactersWithSpaces>8139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2017-10-19T06:03:00Z</dcterms:created>
  <dc:creator>bgs-4</dc:creator>
  <cp:lastModifiedBy>唐俏</cp:lastModifiedBy>
  <cp:lastPrinted>2022-12-17T09:15:00Z</cp:lastPrinted>
  <dcterms:modified xsi:type="dcterms:W3CDTF">2023-12-15T07:33:09Z</dcterms:modified>
  <dc:title>长沙市望城区2017年财政预算预计执行情况与2018年财政预算草案的报告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176437EDDE9349E2995524A28A93B570</vt:lpwstr>
  </property>
</Properties>
</file>